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4A273E" w14:textId="77777777" w:rsidR="0046083D" w:rsidRDefault="0046083D" w:rsidP="0046083D">
      <w:pPr>
        <w:spacing w:before="100" w:beforeAutospacing="1" w:after="100" w:afterAutospacing="1"/>
        <w:rPr>
          <w:rFonts w:ascii="Times" w:hAnsi="Times" w:cs="Times New Roman"/>
          <w:b/>
          <w:sz w:val="32"/>
          <w:szCs w:val="32"/>
          <w:u w:val="single"/>
          <w:lang w:eastAsia="fr-FR"/>
        </w:rPr>
      </w:pPr>
      <w:r>
        <w:rPr>
          <w:rFonts w:ascii="Times" w:hAnsi="Times" w:cs="Times New Roman"/>
          <w:b/>
          <w:sz w:val="32"/>
          <w:szCs w:val="32"/>
          <w:u w:val="single"/>
          <w:lang w:eastAsia="fr-FR"/>
        </w:rPr>
        <w:t>D</w:t>
      </w:r>
      <w:r w:rsidRPr="0046083D">
        <w:rPr>
          <w:rFonts w:ascii="Times" w:hAnsi="Times" w:cs="Times New Roman"/>
          <w:b/>
          <w:sz w:val="32"/>
          <w:szCs w:val="32"/>
          <w:u w:val="single"/>
          <w:lang w:eastAsia="fr-FR"/>
        </w:rPr>
        <w:t xml:space="preserve">iscours du pape François lors de la présentation des vœux de </w:t>
      </w:r>
      <w:hyperlink r:id="rId5" w:tgtFrame="_blank" w:history="1">
        <w:r w:rsidRPr="0046083D">
          <w:rPr>
            <w:rFonts w:ascii="Times" w:hAnsi="Times" w:cs="Times New Roman"/>
            <w:b/>
            <w:color w:val="0000FF"/>
            <w:sz w:val="32"/>
            <w:szCs w:val="32"/>
            <w:u w:val="single"/>
            <w:lang w:eastAsia="fr-FR"/>
          </w:rPr>
          <w:t>Noël</w:t>
        </w:r>
      </w:hyperlink>
      <w:r w:rsidRPr="0046083D">
        <w:rPr>
          <w:rFonts w:ascii="Times" w:hAnsi="Times" w:cs="Times New Roman"/>
          <w:b/>
          <w:sz w:val="32"/>
          <w:szCs w:val="32"/>
          <w:u w:val="single"/>
          <w:lang w:eastAsia="fr-FR"/>
        </w:rPr>
        <w:t> à la Curie romaine</w:t>
      </w:r>
      <w:r>
        <w:rPr>
          <w:rFonts w:ascii="Times" w:hAnsi="Times" w:cs="Times New Roman"/>
          <w:b/>
          <w:sz w:val="32"/>
          <w:szCs w:val="32"/>
          <w:u w:val="single"/>
          <w:lang w:eastAsia="fr-FR"/>
        </w:rPr>
        <w:t>, 22 décembre 2014</w:t>
      </w:r>
    </w:p>
    <w:p w14:paraId="13D034EA" w14:textId="77777777" w:rsidR="00480872" w:rsidRDefault="00480872" w:rsidP="00480872">
      <w:pPr>
        <w:pStyle w:val="Titre1"/>
        <w:rPr>
          <w:rFonts w:eastAsia="Times New Roman" w:cs="Times New Roman"/>
        </w:rPr>
      </w:pPr>
      <w:r>
        <w:rPr>
          <w:rFonts w:eastAsia="Times New Roman" w:cs="Times New Roman"/>
        </w:rPr>
        <w:t>Pape François, le texte intégral du « discours des 15 maladies »</w:t>
      </w:r>
    </w:p>
    <w:p w14:paraId="358AC21C" w14:textId="3D6E5D73" w:rsidR="00480872" w:rsidRPr="00480872" w:rsidRDefault="00480872" w:rsidP="00480872">
      <w:pPr>
        <w:pStyle w:val="Titre1"/>
        <w:rPr>
          <w:rFonts w:ascii="Times" w:hAnsi="Times" w:cs="Times New Roman"/>
          <w:b w:val="0"/>
          <w:sz w:val="20"/>
          <w:szCs w:val="20"/>
        </w:rPr>
      </w:pPr>
      <w:r w:rsidRPr="00480872">
        <w:rPr>
          <w:rFonts w:ascii="Times" w:hAnsi="Times" w:cs="Times New Roman"/>
          <w:b w:val="0"/>
          <w:sz w:val="20"/>
          <w:szCs w:val="20"/>
        </w:rPr>
        <w:t xml:space="preserve">Le discours du pape François, lors de la présentation des vœux de </w:t>
      </w:r>
      <w:hyperlink r:id="rId6" w:tgtFrame="_blank" w:history="1">
        <w:r w:rsidRPr="00480872">
          <w:rPr>
            <w:rStyle w:val="Lienhypertexte"/>
            <w:rFonts w:ascii="Times" w:hAnsi="Times" w:cs="Times New Roman"/>
            <w:b w:val="0"/>
            <w:sz w:val="20"/>
            <w:szCs w:val="20"/>
          </w:rPr>
          <w:t>Noël</w:t>
        </w:r>
      </w:hyperlink>
      <w:r w:rsidRPr="00480872">
        <w:rPr>
          <w:rFonts w:ascii="Times" w:hAnsi="Times" w:cs="Times New Roman"/>
          <w:b w:val="0"/>
          <w:sz w:val="20"/>
          <w:szCs w:val="20"/>
        </w:rPr>
        <w:t xml:space="preserve"> à la Curie romaine, lundi 22 décembre </w:t>
      </w:r>
      <w:bookmarkStart w:id="0" w:name="_GoBack"/>
      <w:bookmarkEnd w:id="0"/>
      <w:r w:rsidRPr="00480872">
        <w:rPr>
          <w:rFonts w:ascii="Times" w:hAnsi="Times" w:cs="Times New Roman"/>
          <w:b w:val="0"/>
          <w:sz w:val="20"/>
          <w:szCs w:val="20"/>
        </w:rPr>
        <w:t>au Vatican, a suscité un écho considérable. Cela tient à la liste des quinze « maladies » pouvant affecter les collaborateurs du Saint-Siège dont le pape a fait une liste détaillée et argumentée.</w:t>
      </w:r>
      <w:r>
        <w:rPr>
          <w:rFonts w:ascii="Times" w:hAnsi="Times" w:cs="Times New Roman"/>
          <w:b w:val="0"/>
          <w:sz w:val="20"/>
          <w:szCs w:val="20"/>
        </w:rPr>
        <w:t xml:space="preserve"> </w:t>
      </w:r>
      <w:r w:rsidRPr="00480872">
        <w:rPr>
          <w:rFonts w:ascii="Times" w:hAnsi="Times" w:cs="Times New Roman"/>
          <w:b w:val="0"/>
          <w:sz w:val="20"/>
          <w:szCs w:val="20"/>
        </w:rPr>
        <w:t>Si ce texte a été très largement commenté, il n’a pas été publié en langue française par le Vatican, mais seulement en italien. « Urbi &amp; Orbi-La Documentation catholique », le site d’informations religieuses édité par « La Croix », en a réalisé une traduction (*) intégrale que l’on trouvera ci-dessous. C’est un document exceptionnel qui, au-delà du cercle de la Curie romaine, peut nourrir la réflexion de toute l’Église.</w:t>
      </w:r>
    </w:p>
    <w:p w14:paraId="2745827E" w14:textId="77777777" w:rsidR="00480872" w:rsidRPr="00480872" w:rsidRDefault="00480872" w:rsidP="00480872"/>
    <w:p w14:paraId="30ABD8D7" w14:textId="77777777" w:rsidR="00480872" w:rsidRPr="0046083D" w:rsidRDefault="00480872" w:rsidP="00480872">
      <w:pPr>
        <w:rPr>
          <w:rFonts w:eastAsia="Times New Roman" w:cs="Times New Roman"/>
        </w:rPr>
      </w:pPr>
      <w:r>
        <w:rPr>
          <w:rFonts w:eastAsia="Times New Roman" w:cs="Times New Roman"/>
          <w:noProof/>
          <w:lang w:eastAsia="fr-FR"/>
        </w:rPr>
        <w:drawing>
          <wp:inline distT="0" distB="0" distL="0" distR="0" wp14:anchorId="028DF1AF" wp14:editId="1A7D763B">
            <wp:extent cx="6035040" cy="3921760"/>
            <wp:effectExtent l="0" t="0" r="10160" b="0"/>
            <wp:docPr id="3" name="Image 3" descr="e pape François s’adresse à la Curie romaine, le 22 décembr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 pape François s’adresse à la Curie romaine, le 22 décembre 201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35040" cy="3921760"/>
                    </a:xfrm>
                    <a:prstGeom prst="rect">
                      <a:avLst/>
                    </a:prstGeom>
                    <a:noFill/>
                    <a:ln>
                      <a:noFill/>
                    </a:ln>
                  </pic:spPr>
                </pic:pic>
              </a:graphicData>
            </a:graphic>
          </wp:inline>
        </w:drawing>
      </w:r>
    </w:p>
    <w:p w14:paraId="4BAA8B5E"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Chers Frères,</w:t>
      </w:r>
    </w:p>
    <w:p w14:paraId="68B17820"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Au terme de l’Avent, nous nous retrouvons pour les traditionnelles salutations. Dans quelques jours, nous aurons la joie de célébrer la Nativité du Seigneur</w:t>
      </w:r>
      <w:r w:rsidRPr="0046083D">
        <w:rPr>
          <w:rFonts w:ascii="Monaco" w:hAnsi="Monaco" w:cs="Monaco"/>
          <w:sz w:val="20"/>
          <w:szCs w:val="20"/>
          <w:lang w:eastAsia="fr-FR"/>
        </w:rPr>
        <w:t> </w:t>
      </w:r>
      <w:r w:rsidRPr="0046083D">
        <w:rPr>
          <w:rFonts w:ascii="Times" w:hAnsi="Times" w:cs="Times New Roman"/>
          <w:sz w:val="20"/>
          <w:szCs w:val="20"/>
          <w:lang w:eastAsia="fr-FR"/>
        </w:rPr>
        <w:t>; l’événement de Dieu qui se fait homme pour sauver les hommes</w:t>
      </w:r>
      <w:r w:rsidRPr="0046083D">
        <w:rPr>
          <w:rFonts w:ascii="Monaco" w:hAnsi="Monaco" w:cs="Monaco"/>
          <w:sz w:val="20"/>
          <w:szCs w:val="20"/>
          <w:lang w:eastAsia="fr-FR"/>
        </w:rPr>
        <w:t> </w:t>
      </w:r>
      <w:r w:rsidRPr="0046083D">
        <w:rPr>
          <w:rFonts w:ascii="Times" w:hAnsi="Times" w:cs="Times New Roman"/>
          <w:sz w:val="20"/>
          <w:szCs w:val="20"/>
          <w:lang w:eastAsia="fr-FR"/>
        </w:rPr>
        <w:t>; la manifestation de l’amour de Dieu qui ne se limite pas à nous donner quelque chose ou à nous envoyer un certain message ou quelques messagers, mais nous fait le don de lui-même</w:t>
      </w:r>
      <w:r w:rsidRPr="0046083D">
        <w:rPr>
          <w:rFonts w:ascii="Monaco" w:hAnsi="Monaco" w:cs="Monaco"/>
          <w:sz w:val="20"/>
          <w:szCs w:val="20"/>
          <w:lang w:eastAsia="fr-FR"/>
        </w:rPr>
        <w:t> </w:t>
      </w:r>
      <w:r w:rsidRPr="0046083D">
        <w:rPr>
          <w:rFonts w:ascii="Times" w:hAnsi="Times" w:cs="Times New Roman"/>
          <w:sz w:val="20"/>
          <w:szCs w:val="20"/>
          <w:lang w:eastAsia="fr-FR"/>
        </w:rPr>
        <w:t>; le mystère de Dieu qui prend sur lui notre condition humaine et nos péchés pour nous révéler sa Vie divine, son immense grâce et son pardon gratuit. C’est le rendez-vous avec Dieu qui naît dans la pauvreté de la grotte de Bethléem pour nous enseigner la puissance de l’humilité. En effet, Noël est aussi la fête de la lumière qui n’est pas accueillie par les « élus », mais par les personnes les plus pauvres et les plus simples qui attendaient le salut du Seigneur.</w:t>
      </w:r>
    </w:p>
    <w:p w14:paraId="7B5A61CD"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xml:space="preserve">Avant tout, je voudrais vous souhaiter à tous – collaborateurs, frères et sœurs, représentants pontificaux dispersés dans le monde – et à tous ceux qui vous sont chers, une sainte fête de Noël et une bonne et heureuse année. Je </w:t>
      </w:r>
      <w:r w:rsidRPr="0046083D">
        <w:rPr>
          <w:rFonts w:ascii="Times" w:hAnsi="Times" w:cs="Times New Roman"/>
          <w:sz w:val="20"/>
          <w:szCs w:val="20"/>
          <w:lang w:eastAsia="fr-FR"/>
        </w:rPr>
        <w:lastRenderedPageBreak/>
        <w:t>désire vous remercier cordialement pour votre engagement quotidien au service du Saint-Siège, de l’Église catholique, des Églises particulières et du Successeur de Pierre.</w:t>
      </w:r>
    </w:p>
    <w:p w14:paraId="5566F12E"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Comme nous sommes des personnes et non des numéros ou de simples dénominations, je souhaite tout particulièrement me souvenir de ceux qui, au cours de cette année, ont achevé leur service parce qu’ils avaient atteint la limite d’âge, avaient un nouveau rôle à assumer, ou parce qu’ils ont été rappelés à la Maison du Père. Mes pensées et ma gratitude vont également à eux tous et à leurs proches.</w:t>
      </w:r>
    </w:p>
    <w:p w14:paraId="693F475A"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Avec vous, je souhaite adresser au Seigneur de vifs et sincères remerciements pour l’année qui s’achève, pour les événements vécus et pour tout le bien qu’Il a voulu accomplir généreusement à travers le service du Saint-Siège, et lui demander humblement pardon pour les fautes commises « en pensée, en parole, par action et par omission ».</w:t>
      </w:r>
    </w:p>
    <w:p w14:paraId="3BA13923"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Et, partant de cette demande de pardon, je voudrais que notre rencontre d’aujourd’hui et les réflexions que je vais partager avec vous, servent pour nous tous d’appui et nous poussent à un véritable examen de conscience afin de préparer notre cœur à la sainte fête de Noël.</w:t>
      </w:r>
    </w:p>
    <w:p w14:paraId="3319CDB4" w14:textId="77777777" w:rsidR="0046083D" w:rsidRPr="0046083D" w:rsidRDefault="0046083D" w:rsidP="0046083D">
      <w:pPr>
        <w:spacing w:before="100" w:beforeAutospacing="1" w:after="100" w:afterAutospacing="1"/>
        <w:outlineLvl w:val="2"/>
        <w:rPr>
          <w:rFonts w:ascii="Times" w:eastAsia="Times New Roman" w:hAnsi="Times" w:cs="Times New Roman"/>
          <w:b/>
          <w:bCs/>
          <w:sz w:val="27"/>
          <w:szCs w:val="27"/>
          <w:lang w:eastAsia="fr-FR"/>
        </w:rPr>
      </w:pPr>
      <w:bookmarkStart w:id="1" w:name="eztoc41374739_0_7"/>
      <w:bookmarkEnd w:id="1"/>
      <w:r w:rsidRPr="0046083D">
        <w:rPr>
          <w:rFonts w:ascii="Times" w:eastAsia="Times New Roman" w:hAnsi="Times" w:cs="Times New Roman"/>
          <w:b/>
          <w:bCs/>
          <w:sz w:val="27"/>
          <w:szCs w:val="27"/>
          <w:lang w:eastAsia="fr-FR"/>
        </w:rPr>
        <w:t>La Curie romaine, un corps complexe</w:t>
      </w:r>
    </w:p>
    <w:p w14:paraId="7FF551FF"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xml:space="preserve">En pensant à notre rencontre, m’est venue à l’esprit l’image de l’Église en tant que Corps mystique de Jésus-Christ. Comme l’explique le pape Pie XII, c’est une expression qui « découle, qui fleurit pour ainsi dire, de ce que nous exposent fréquemment les Saintes Écritures et les écrits des saints Pères » (1). À ce propos, </w:t>
      </w:r>
      <w:hyperlink r:id="rId8" w:tgtFrame="_blank" w:history="1">
        <w:r w:rsidRPr="0046083D">
          <w:rPr>
            <w:rFonts w:ascii="Times" w:hAnsi="Times" w:cs="Times New Roman"/>
            <w:color w:val="0000FF"/>
            <w:sz w:val="20"/>
            <w:szCs w:val="20"/>
            <w:u w:val="single"/>
            <w:lang w:eastAsia="fr-FR"/>
          </w:rPr>
          <w:t>saint Paul</w:t>
        </w:r>
      </w:hyperlink>
      <w:r w:rsidRPr="0046083D">
        <w:rPr>
          <w:rFonts w:ascii="Times" w:hAnsi="Times" w:cs="Times New Roman"/>
          <w:sz w:val="20"/>
          <w:szCs w:val="20"/>
          <w:lang w:eastAsia="fr-FR"/>
        </w:rPr>
        <w:t> </w:t>
      </w:r>
      <w:proofErr w:type="gramStart"/>
      <w:r w:rsidRPr="0046083D">
        <w:rPr>
          <w:rFonts w:ascii="Times" w:hAnsi="Times" w:cs="Times New Roman"/>
          <w:sz w:val="20"/>
          <w:szCs w:val="20"/>
          <w:lang w:eastAsia="fr-FR"/>
        </w:rPr>
        <w:t xml:space="preserve">écrit </w:t>
      </w:r>
      <w:r w:rsidRPr="0046083D">
        <w:rPr>
          <w:rFonts w:ascii="Monaco" w:hAnsi="Monaco" w:cs="Monaco"/>
          <w:sz w:val="20"/>
          <w:szCs w:val="20"/>
          <w:lang w:eastAsia="fr-FR"/>
        </w:rPr>
        <w:t> </w:t>
      </w:r>
      <w:r w:rsidRPr="0046083D">
        <w:rPr>
          <w:rFonts w:ascii="Times" w:hAnsi="Times" w:cs="Times New Roman"/>
          <w:sz w:val="20"/>
          <w:szCs w:val="20"/>
          <w:lang w:eastAsia="fr-FR"/>
        </w:rPr>
        <w:t>:</w:t>
      </w:r>
      <w:proofErr w:type="gramEnd"/>
      <w:r w:rsidRPr="0046083D">
        <w:rPr>
          <w:rFonts w:ascii="Times" w:hAnsi="Times" w:cs="Times New Roman"/>
          <w:sz w:val="20"/>
          <w:szCs w:val="20"/>
          <w:lang w:eastAsia="fr-FR"/>
        </w:rPr>
        <w:t xml:space="preserve"> « Le corps ne fait qu’un, il a pourtant plusieurs membres</w:t>
      </w:r>
      <w:r w:rsidRPr="0046083D">
        <w:rPr>
          <w:rFonts w:ascii="Monaco" w:hAnsi="Monaco" w:cs="Monaco"/>
          <w:sz w:val="20"/>
          <w:szCs w:val="20"/>
          <w:lang w:eastAsia="fr-FR"/>
        </w:rPr>
        <w:t> </w:t>
      </w:r>
      <w:r w:rsidRPr="0046083D">
        <w:rPr>
          <w:rFonts w:ascii="Times" w:hAnsi="Times" w:cs="Times New Roman"/>
          <w:sz w:val="20"/>
          <w:szCs w:val="20"/>
          <w:lang w:eastAsia="fr-FR"/>
        </w:rPr>
        <w:t>; et tous les membres, malgré leur nombre, ne forment qu’un seul corps. Il en est ainsi pour le Christ » (1 Co 12, 12) (2).</w:t>
      </w:r>
    </w:p>
    <w:p w14:paraId="01579B27"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xml:space="preserve">En ce sens, le concile </w:t>
      </w:r>
      <w:hyperlink r:id="rId9" w:tgtFrame="_blank" w:history="1">
        <w:r w:rsidRPr="0046083D">
          <w:rPr>
            <w:rFonts w:ascii="Times" w:hAnsi="Times" w:cs="Times New Roman"/>
            <w:color w:val="0000FF"/>
            <w:sz w:val="20"/>
            <w:szCs w:val="20"/>
            <w:u w:val="single"/>
            <w:lang w:eastAsia="fr-FR"/>
          </w:rPr>
          <w:t>Vatican II</w:t>
        </w:r>
      </w:hyperlink>
      <w:r w:rsidRPr="0046083D">
        <w:rPr>
          <w:rFonts w:ascii="Times" w:hAnsi="Times" w:cs="Times New Roman"/>
          <w:sz w:val="20"/>
          <w:szCs w:val="20"/>
          <w:lang w:eastAsia="fr-FR"/>
        </w:rPr>
        <w:t> nous rappelle que « dans l’édification du Corps du Christ règne également une diversité de membres et de fonctions. Unique est l’Esprit qui distribue des dons variés pour le bien de l’Église à la mesure de ses richesses et des exigences des services (cf. 1 Co 12, 11) » (3). C’est pourquoi « le Christ et l’Église, c’est donc le « Christ total « (</w:t>
      </w:r>
      <w:r w:rsidRPr="0046083D">
        <w:rPr>
          <w:rFonts w:ascii="Times" w:hAnsi="Times" w:cs="Times New Roman"/>
          <w:i/>
          <w:iCs/>
          <w:sz w:val="20"/>
          <w:szCs w:val="20"/>
          <w:lang w:eastAsia="fr-FR"/>
        </w:rPr>
        <w:t xml:space="preserve">Christus </w:t>
      </w:r>
      <w:proofErr w:type="spellStart"/>
      <w:r w:rsidRPr="0046083D">
        <w:rPr>
          <w:rFonts w:ascii="Times" w:hAnsi="Times" w:cs="Times New Roman"/>
          <w:i/>
          <w:iCs/>
          <w:sz w:val="20"/>
          <w:szCs w:val="20"/>
          <w:lang w:eastAsia="fr-FR"/>
        </w:rPr>
        <w:t>totus</w:t>
      </w:r>
      <w:proofErr w:type="spellEnd"/>
      <w:r w:rsidRPr="0046083D">
        <w:rPr>
          <w:rFonts w:ascii="Times" w:hAnsi="Times" w:cs="Times New Roman"/>
          <w:sz w:val="20"/>
          <w:szCs w:val="20"/>
          <w:lang w:eastAsia="fr-FR"/>
        </w:rPr>
        <w:t>). L’Église est une avec le Christ » (4).</w:t>
      </w:r>
    </w:p>
    <w:p w14:paraId="18E7CFDB"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Il est beau de penser à la Curie romaine comme à un petit modèle de l’Église, c’est-à-dire comme à un « corps » qui cherche sérieusement et quotidiennement à être plus vivant, plus sain, plus harmonieux et plus uni, en lui-même et avec le Christ.</w:t>
      </w:r>
    </w:p>
    <w:p w14:paraId="101DD03E"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En réalité, la Curie romaine est un corps complexe, composé de tant de dicastères, de conseils, de bureaux, de tribunaux, de commissions et de nombreuses entités qui n’ont pas toutes les mêmes tâches, mais sont coordonnées pour fonctionner de manière efficace, édifiante, disciplinée et exemplaire, en dépit de la diversité culturelle, linguistique et nationale de ses membres (5).</w:t>
      </w:r>
    </w:p>
    <w:p w14:paraId="62CA84AB"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xml:space="preserve">Quoi qu’il en soit, la Curie étant un corps dynamique, celle-ci ne peut vivre sans se nourrir et sans se soigner. De fait, la Curie – comme l’Église – ne peut vivre sans avoir un rapport vital, personnel, authentique et solide avec le Christ (6). Un membre de la Curie qui ne mange pas quotidiennement de ce Pain, deviendra un bureaucrate (un formaliste, un fonctionnaire, un simple employé) : un sarment qui se dessèche, meurt peu à peu, et finit par être jeté. La prière quotidienne, la participation assidue aux sacrements, en particulier à ceux de l’Eucharistie et de la </w:t>
      </w:r>
      <w:hyperlink r:id="rId10" w:tgtFrame="_blank" w:history="1">
        <w:r w:rsidRPr="0046083D">
          <w:rPr>
            <w:rFonts w:ascii="Times" w:hAnsi="Times" w:cs="Times New Roman"/>
            <w:color w:val="0000FF"/>
            <w:sz w:val="20"/>
            <w:szCs w:val="20"/>
            <w:u w:val="single"/>
            <w:lang w:eastAsia="fr-FR"/>
          </w:rPr>
          <w:t>réconciliation</w:t>
        </w:r>
      </w:hyperlink>
      <w:r w:rsidRPr="0046083D">
        <w:rPr>
          <w:rFonts w:ascii="Times" w:hAnsi="Times" w:cs="Times New Roman"/>
          <w:sz w:val="20"/>
          <w:szCs w:val="20"/>
          <w:lang w:eastAsia="fr-FR"/>
        </w:rPr>
        <w:t xml:space="preserve">, le contact quotidien avec la Parole de Dieu et la spiritualité traduite en charité vécue, constituent pour chacun de nous des aliments vitaux. Que cela soit clair pour nous tous : sans Lui, nous ne pouvons rien faire (cf. </w:t>
      </w:r>
      <w:proofErr w:type="spellStart"/>
      <w:r w:rsidRPr="0046083D">
        <w:rPr>
          <w:rFonts w:ascii="Times" w:hAnsi="Times" w:cs="Times New Roman"/>
          <w:sz w:val="20"/>
          <w:szCs w:val="20"/>
          <w:lang w:eastAsia="fr-FR"/>
        </w:rPr>
        <w:t>Jn</w:t>
      </w:r>
      <w:proofErr w:type="spellEnd"/>
      <w:r w:rsidRPr="0046083D">
        <w:rPr>
          <w:rFonts w:ascii="Times" w:hAnsi="Times" w:cs="Times New Roman"/>
          <w:sz w:val="20"/>
          <w:szCs w:val="20"/>
          <w:lang w:eastAsia="fr-FR"/>
        </w:rPr>
        <w:t xml:space="preserve"> 15, 8).</w:t>
      </w:r>
    </w:p>
    <w:p w14:paraId="0E5087C7"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xml:space="preserve">Par conséquent, le rapport vivant avec Dieu nourrit et fortifie aussi la </w:t>
      </w:r>
      <w:hyperlink r:id="rId11" w:tgtFrame="_blank" w:history="1">
        <w:r w:rsidRPr="0046083D">
          <w:rPr>
            <w:rFonts w:ascii="Times" w:hAnsi="Times" w:cs="Times New Roman"/>
            <w:color w:val="0000FF"/>
            <w:sz w:val="20"/>
            <w:szCs w:val="20"/>
            <w:u w:val="single"/>
            <w:lang w:eastAsia="fr-FR"/>
          </w:rPr>
          <w:t>communion</w:t>
        </w:r>
      </w:hyperlink>
      <w:r w:rsidRPr="0046083D">
        <w:rPr>
          <w:rFonts w:ascii="Times" w:hAnsi="Times" w:cs="Times New Roman"/>
          <w:sz w:val="20"/>
          <w:szCs w:val="20"/>
          <w:lang w:eastAsia="fr-FR"/>
        </w:rPr>
        <w:t> avec les autres. Autrement dit, plus nous sommes intimement liés à Dieu, plus nous sommes unis entre nous, parce que l’Esprit de Dieu unit et l’esprit du malin divise.</w:t>
      </w:r>
    </w:p>
    <w:p w14:paraId="42758B73" w14:textId="77777777" w:rsidR="0046083D" w:rsidRPr="0046083D" w:rsidRDefault="0046083D" w:rsidP="0046083D">
      <w:pPr>
        <w:spacing w:before="100" w:beforeAutospacing="1" w:after="100" w:afterAutospacing="1"/>
        <w:outlineLvl w:val="2"/>
        <w:rPr>
          <w:rFonts w:ascii="Times" w:eastAsia="Times New Roman" w:hAnsi="Times" w:cs="Times New Roman"/>
          <w:b/>
          <w:bCs/>
          <w:sz w:val="27"/>
          <w:szCs w:val="27"/>
          <w:lang w:eastAsia="fr-FR"/>
        </w:rPr>
      </w:pPr>
      <w:bookmarkStart w:id="2" w:name="eztoc41374739_0_8"/>
      <w:bookmarkEnd w:id="2"/>
      <w:r w:rsidRPr="0046083D">
        <w:rPr>
          <w:rFonts w:ascii="Times" w:eastAsia="Times New Roman" w:hAnsi="Times" w:cs="Times New Roman"/>
          <w:b/>
          <w:bCs/>
          <w:sz w:val="27"/>
          <w:szCs w:val="27"/>
          <w:lang w:eastAsia="fr-FR"/>
        </w:rPr>
        <w:t>Des maladies et des tentations qui affaiblissent notre service</w:t>
      </w:r>
    </w:p>
    <w:p w14:paraId="3273906C"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xml:space="preserve">La Curie est appelée à s’améliorer, à s’améliorer en permanence et à croître dans la </w:t>
      </w:r>
      <w:hyperlink r:id="rId12" w:tgtFrame="_blank" w:history="1">
        <w:r w:rsidRPr="0046083D">
          <w:rPr>
            <w:rFonts w:ascii="Times" w:hAnsi="Times" w:cs="Times New Roman"/>
            <w:color w:val="0000FF"/>
            <w:sz w:val="20"/>
            <w:szCs w:val="20"/>
            <w:u w:val="single"/>
            <w:lang w:eastAsia="fr-FR"/>
          </w:rPr>
          <w:t>communion</w:t>
        </w:r>
      </w:hyperlink>
      <w:r w:rsidRPr="0046083D">
        <w:rPr>
          <w:rFonts w:ascii="Times" w:hAnsi="Times" w:cs="Times New Roman"/>
          <w:sz w:val="20"/>
          <w:szCs w:val="20"/>
          <w:lang w:eastAsia="fr-FR"/>
        </w:rPr>
        <w:t xml:space="preserve">, la sainteté et la sagesse pour pleinement mener à bien sa mission (7). Pourtant, comme tout corps, comme tout corps humain, elle est exposée aussi aux maladies, au dysfonctionnement, à l’infirmité. Et je voudrais mentionner ici certaines </w:t>
      </w:r>
      <w:r w:rsidRPr="0046083D">
        <w:rPr>
          <w:rFonts w:ascii="Times" w:hAnsi="Times" w:cs="Times New Roman"/>
          <w:sz w:val="20"/>
          <w:szCs w:val="20"/>
          <w:lang w:eastAsia="fr-FR"/>
        </w:rPr>
        <w:lastRenderedPageBreak/>
        <w:t xml:space="preserve">de ces probables maladies, les « maladies curiales ». Ce sont des maladies assez communes dans notre vie de Curie. Ce sont des maladies et des tentations qui affaiblissent notre service au Seigneur. Je crois que, à l’instar des Pères du désert qui en rédigeaient de tels, le « catalogue » de ces maladies nous aidera à nous préparer au </w:t>
      </w:r>
      <w:hyperlink r:id="rId13" w:tgtFrame="_blank" w:history="1">
        <w:r w:rsidRPr="0046083D">
          <w:rPr>
            <w:rFonts w:ascii="Times" w:hAnsi="Times" w:cs="Times New Roman"/>
            <w:color w:val="0000FF"/>
            <w:sz w:val="20"/>
            <w:szCs w:val="20"/>
            <w:u w:val="single"/>
            <w:lang w:eastAsia="fr-FR"/>
          </w:rPr>
          <w:t>sacrement</w:t>
        </w:r>
      </w:hyperlink>
      <w:r w:rsidRPr="0046083D">
        <w:rPr>
          <w:rFonts w:ascii="Times" w:hAnsi="Times" w:cs="Times New Roman"/>
          <w:sz w:val="20"/>
          <w:szCs w:val="20"/>
          <w:lang w:eastAsia="fr-FR"/>
        </w:rPr>
        <w:t xml:space="preserve"> de la </w:t>
      </w:r>
      <w:hyperlink r:id="rId14" w:tgtFrame="_blank" w:history="1">
        <w:r w:rsidRPr="0046083D">
          <w:rPr>
            <w:rFonts w:ascii="Times" w:hAnsi="Times" w:cs="Times New Roman"/>
            <w:color w:val="0000FF"/>
            <w:sz w:val="20"/>
            <w:szCs w:val="20"/>
            <w:u w:val="single"/>
            <w:lang w:eastAsia="fr-FR"/>
          </w:rPr>
          <w:t>réconciliation</w:t>
        </w:r>
      </w:hyperlink>
      <w:r w:rsidRPr="0046083D">
        <w:rPr>
          <w:rFonts w:ascii="Times" w:hAnsi="Times" w:cs="Times New Roman"/>
          <w:sz w:val="20"/>
          <w:szCs w:val="20"/>
          <w:lang w:eastAsia="fr-FR"/>
        </w:rPr>
        <w:t>, qui constituera pour nous tous une étape importante vers la fête de Noël.</w:t>
      </w:r>
    </w:p>
    <w:p w14:paraId="16784A51"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w:t>
      </w:r>
      <w:r w:rsidRPr="0046083D">
        <w:rPr>
          <w:rFonts w:ascii="Times" w:hAnsi="Times" w:cs="Times New Roman"/>
          <w:b/>
          <w:bCs/>
          <w:sz w:val="20"/>
          <w:szCs w:val="20"/>
          <w:lang w:eastAsia="fr-FR"/>
        </w:rPr>
        <w:t>1.</w:t>
      </w:r>
      <w:r w:rsidRPr="0046083D">
        <w:rPr>
          <w:rFonts w:ascii="Times" w:hAnsi="Times" w:cs="Times New Roman"/>
          <w:sz w:val="20"/>
          <w:szCs w:val="20"/>
          <w:lang w:eastAsia="fr-FR"/>
        </w:rPr>
        <w:t> </w:t>
      </w:r>
      <w:r w:rsidRPr="0046083D">
        <w:rPr>
          <w:rFonts w:ascii="Times" w:hAnsi="Times" w:cs="Times New Roman"/>
          <w:b/>
          <w:bCs/>
          <w:sz w:val="20"/>
          <w:szCs w:val="20"/>
          <w:lang w:eastAsia="fr-FR"/>
        </w:rPr>
        <w:t xml:space="preserve">La maladie de celui qui se sent « immortel », « immunisé » ou tout à fait « indispensable » </w:t>
      </w:r>
      <w:r w:rsidRPr="0046083D">
        <w:rPr>
          <w:rFonts w:ascii="Times" w:hAnsi="Times" w:cs="Times New Roman"/>
          <w:sz w:val="20"/>
          <w:szCs w:val="20"/>
          <w:lang w:eastAsia="fr-FR"/>
        </w:rPr>
        <w:t xml:space="preserve">et néglige les contrôles nécessaires et habituels. Une Curie qui ne fait pas son autocritique, ne s’ajuste pas en permanence, ne cherche pas à s’améliorer, est un corps malade, infirme. Une simple visite au cimetière nous permettrait de voir les noms de nombreuses personnes, dont certaines pensaient peut-être qu’elles étaient immortelles, immunisées et indispensables ! C’est la maladie de l'homme riche et insensé de l’Évangile qui pensait vivre éternellement (cf. </w:t>
      </w:r>
      <w:proofErr w:type="spellStart"/>
      <w:r w:rsidRPr="0046083D">
        <w:rPr>
          <w:rFonts w:ascii="Times" w:hAnsi="Times" w:cs="Times New Roman"/>
          <w:sz w:val="20"/>
          <w:szCs w:val="20"/>
          <w:lang w:eastAsia="fr-FR"/>
        </w:rPr>
        <w:t>Lc</w:t>
      </w:r>
      <w:proofErr w:type="spellEnd"/>
      <w:r w:rsidRPr="0046083D">
        <w:rPr>
          <w:rFonts w:ascii="Times" w:hAnsi="Times" w:cs="Times New Roman"/>
          <w:sz w:val="20"/>
          <w:szCs w:val="20"/>
          <w:lang w:eastAsia="fr-FR"/>
        </w:rPr>
        <w:t xml:space="preserve"> 12, 13-21) et de tous ceux qui se transforment en maîtres et se sentent supérieurs à tous, et non au service de tous. Elle découle souvent de la pathologie du pouvoir, du « complexe des élus », du narcissisme qui consiste à regarder passionnément sa propre image et à ne pas voir l'image de Dieu imprimée sur le visage des autres, spécialement des plus faibles et des plus nécessiteux (8). L’antidote à cette épidémie est la grâce de se sentir pécheurs et de savoir dire de tout cœur : « Nous sommes de simples serviteurs : nous n’avons fait que notre devoir » (</w:t>
      </w:r>
      <w:proofErr w:type="spellStart"/>
      <w:r w:rsidRPr="0046083D">
        <w:rPr>
          <w:rFonts w:ascii="Times" w:hAnsi="Times" w:cs="Times New Roman"/>
          <w:sz w:val="20"/>
          <w:szCs w:val="20"/>
          <w:lang w:eastAsia="fr-FR"/>
        </w:rPr>
        <w:t>Lc</w:t>
      </w:r>
      <w:proofErr w:type="spellEnd"/>
      <w:r w:rsidRPr="0046083D">
        <w:rPr>
          <w:rFonts w:ascii="Times" w:hAnsi="Times" w:cs="Times New Roman"/>
          <w:sz w:val="20"/>
          <w:szCs w:val="20"/>
          <w:lang w:eastAsia="fr-FR"/>
        </w:rPr>
        <w:t xml:space="preserve"> 17, 10).</w:t>
      </w:r>
    </w:p>
    <w:p w14:paraId="1FC7B90E"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w:t>
      </w:r>
      <w:r w:rsidRPr="0046083D">
        <w:rPr>
          <w:rFonts w:ascii="Times" w:hAnsi="Times" w:cs="Times New Roman"/>
          <w:b/>
          <w:bCs/>
          <w:sz w:val="20"/>
          <w:szCs w:val="20"/>
          <w:lang w:eastAsia="fr-FR"/>
        </w:rPr>
        <w:t>2.</w:t>
      </w:r>
      <w:r w:rsidRPr="0046083D">
        <w:rPr>
          <w:rFonts w:ascii="Times" w:hAnsi="Times" w:cs="Times New Roman"/>
          <w:sz w:val="20"/>
          <w:szCs w:val="20"/>
          <w:lang w:eastAsia="fr-FR"/>
        </w:rPr>
        <w:t xml:space="preserve"> Autre maladie : </w:t>
      </w:r>
      <w:r w:rsidRPr="0046083D">
        <w:rPr>
          <w:rFonts w:ascii="Times" w:hAnsi="Times" w:cs="Times New Roman"/>
          <w:b/>
          <w:bCs/>
          <w:sz w:val="20"/>
          <w:szCs w:val="20"/>
          <w:lang w:eastAsia="fr-FR"/>
        </w:rPr>
        <w:t xml:space="preserve">le « </w:t>
      </w:r>
      <w:proofErr w:type="spellStart"/>
      <w:r w:rsidRPr="0046083D">
        <w:rPr>
          <w:rFonts w:ascii="Times" w:hAnsi="Times" w:cs="Times New Roman"/>
          <w:b/>
          <w:bCs/>
          <w:sz w:val="20"/>
          <w:szCs w:val="20"/>
          <w:lang w:eastAsia="fr-FR"/>
        </w:rPr>
        <w:t>marthalisme</w:t>
      </w:r>
      <w:proofErr w:type="spellEnd"/>
      <w:r w:rsidRPr="0046083D">
        <w:rPr>
          <w:rFonts w:ascii="Times" w:hAnsi="Times" w:cs="Times New Roman"/>
          <w:b/>
          <w:bCs/>
          <w:sz w:val="20"/>
          <w:szCs w:val="20"/>
          <w:lang w:eastAsia="fr-FR"/>
        </w:rPr>
        <w:t xml:space="preserve"> »</w:t>
      </w:r>
      <w:r w:rsidRPr="0046083D">
        <w:rPr>
          <w:rFonts w:ascii="Times" w:hAnsi="Times" w:cs="Times New Roman"/>
          <w:sz w:val="20"/>
          <w:szCs w:val="20"/>
          <w:lang w:eastAsia="fr-FR"/>
        </w:rPr>
        <w:t xml:space="preserve"> (qui vient de Marthe) ou l’activité excessive. Elle concerne ceux qui se noient dans le travail et négligent inévitablement « la meilleure part » : s’asseoir aux pieds de </w:t>
      </w:r>
      <w:hyperlink r:id="rId15" w:tgtFrame="_blank" w:history="1">
        <w:r w:rsidRPr="0046083D">
          <w:rPr>
            <w:rFonts w:ascii="Times" w:hAnsi="Times" w:cs="Times New Roman"/>
            <w:color w:val="0000FF"/>
            <w:sz w:val="20"/>
            <w:szCs w:val="20"/>
            <w:u w:val="single"/>
            <w:lang w:eastAsia="fr-FR"/>
          </w:rPr>
          <w:t>Jésus</w:t>
        </w:r>
      </w:hyperlink>
      <w:r w:rsidRPr="0046083D">
        <w:rPr>
          <w:rFonts w:ascii="Times" w:hAnsi="Times" w:cs="Times New Roman"/>
          <w:sz w:val="20"/>
          <w:szCs w:val="20"/>
          <w:lang w:eastAsia="fr-FR"/>
        </w:rPr>
        <w:t xml:space="preserve"> (cf. </w:t>
      </w:r>
      <w:proofErr w:type="spellStart"/>
      <w:r w:rsidRPr="0046083D">
        <w:rPr>
          <w:rFonts w:ascii="Times" w:hAnsi="Times" w:cs="Times New Roman"/>
          <w:sz w:val="20"/>
          <w:szCs w:val="20"/>
          <w:lang w:eastAsia="fr-FR"/>
        </w:rPr>
        <w:t>Lc</w:t>
      </w:r>
      <w:proofErr w:type="spellEnd"/>
      <w:r w:rsidRPr="0046083D">
        <w:rPr>
          <w:rFonts w:ascii="Times" w:hAnsi="Times" w:cs="Times New Roman"/>
          <w:sz w:val="20"/>
          <w:szCs w:val="20"/>
          <w:lang w:eastAsia="fr-FR"/>
        </w:rPr>
        <w:t xml:space="preserve"> 10, 38-42). C’est pourquoi </w:t>
      </w:r>
      <w:hyperlink r:id="rId16" w:tgtFrame="_blank" w:history="1">
        <w:r w:rsidRPr="0046083D">
          <w:rPr>
            <w:rFonts w:ascii="Times" w:hAnsi="Times" w:cs="Times New Roman"/>
            <w:color w:val="0000FF"/>
            <w:sz w:val="20"/>
            <w:szCs w:val="20"/>
            <w:u w:val="single"/>
            <w:lang w:eastAsia="fr-FR"/>
          </w:rPr>
          <w:t>Jésus</w:t>
        </w:r>
      </w:hyperlink>
      <w:r w:rsidRPr="0046083D">
        <w:rPr>
          <w:rFonts w:ascii="Times" w:hAnsi="Times" w:cs="Times New Roman"/>
          <w:sz w:val="20"/>
          <w:szCs w:val="20"/>
          <w:lang w:eastAsia="fr-FR"/>
        </w:rPr>
        <w:t xml:space="preserve"> a demandé à ses disciples de « se reposer un peu » (cf. Mc 6, 31), car négliger le repos nécessaire conduit au stress et à l'agitation. Le temps du repos, pour celui qui a mené à bien sa mission, est une nécessité, un devoir, et doit être vécu sérieusement : en passant un peu de temps avec sa famille et en respectant les jours fériés comme des moments pour se ressourcer spirituellement et physiquement. Il faut retenir ce qu'enseigne </w:t>
      </w:r>
      <w:proofErr w:type="spellStart"/>
      <w:r w:rsidRPr="0046083D">
        <w:rPr>
          <w:rFonts w:ascii="Times" w:hAnsi="Times" w:cs="Times New Roman"/>
          <w:sz w:val="20"/>
          <w:szCs w:val="20"/>
          <w:lang w:eastAsia="fr-FR"/>
        </w:rPr>
        <w:t>Qohéleth</w:t>
      </w:r>
      <w:proofErr w:type="spellEnd"/>
      <w:r w:rsidRPr="0046083D">
        <w:rPr>
          <w:rFonts w:ascii="Times" w:hAnsi="Times" w:cs="Times New Roman"/>
          <w:sz w:val="20"/>
          <w:szCs w:val="20"/>
          <w:lang w:eastAsia="fr-FR"/>
        </w:rPr>
        <w:t xml:space="preserve"> : « Il y a un moment pour tout » (</w:t>
      </w:r>
      <w:proofErr w:type="spellStart"/>
      <w:r w:rsidRPr="0046083D">
        <w:rPr>
          <w:rFonts w:ascii="Times" w:hAnsi="Times" w:cs="Times New Roman"/>
          <w:sz w:val="20"/>
          <w:szCs w:val="20"/>
          <w:lang w:eastAsia="fr-FR"/>
        </w:rPr>
        <w:t>Qo</w:t>
      </w:r>
      <w:proofErr w:type="spellEnd"/>
      <w:r w:rsidRPr="0046083D">
        <w:rPr>
          <w:rFonts w:ascii="Times" w:hAnsi="Times" w:cs="Times New Roman"/>
          <w:sz w:val="20"/>
          <w:szCs w:val="20"/>
          <w:lang w:eastAsia="fr-FR"/>
        </w:rPr>
        <w:t xml:space="preserve"> 3, 1-15).</w:t>
      </w:r>
    </w:p>
    <w:p w14:paraId="4C130755"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w:t>
      </w:r>
      <w:r w:rsidRPr="0046083D">
        <w:rPr>
          <w:rFonts w:ascii="Times" w:hAnsi="Times" w:cs="Times New Roman"/>
          <w:b/>
          <w:bCs/>
          <w:sz w:val="20"/>
          <w:szCs w:val="20"/>
          <w:lang w:eastAsia="fr-FR"/>
        </w:rPr>
        <w:t>3.</w:t>
      </w:r>
      <w:r w:rsidRPr="0046083D">
        <w:rPr>
          <w:rFonts w:ascii="Times" w:hAnsi="Times" w:cs="Times New Roman"/>
          <w:sz w:val="20"/>
          <w:szCs w:val="20"/>
          <w:lang w:eastAsia="fr-FR"/>
        </w:rPr>
        <w:t xml:space="preserve"> Il y a aussi </w:t>
      </w:r>
      <w:r w:rsidRPr="0046083D">
        <w:rPr>
          <w:rFonts w:ascii="Times" w:hAnsi="Times" w:cs="Times New Roman"/>
          <w:b/>
          <w:bCs/>
          <w:sz w:val="20"/>
          <w:szCs w:val="20"/>
          <w:lang w:eastAsia="fr-FR"/>
        </w:rPr>
        <w:t>la maladie de la « pétrification » mentale et spirituelle</w:t>
      </w:r>
      <w:r w:rsidRPr="0046083D">
        <w:rPr>
          <w:rFonts w:ascii="Times" w:hAnsi="Times" w:cs="Times New Roman"/>
          <w:sz w:val="20"/>
          <w:szCs w:val="20"/>
          <w:lang w:eastAsia="fr-FR"/>
        </w:rPr>
        <w:t>. Ceux qui en sont atteints possèdent un cœur de pierre et une « nuque raide » (</w:t>
      </w:r>
      <w:proofErr w:type="spellStart"/>
      <w:r w:rsidRPr="0046083D">
        <w:rPr>
          <w:rFonts w:ascii="Times" w:hAnsi="Times" w:cs="Times New Roman"/>
          <w:sz w:val="20"/>
          <w:szCs w:val="20"/>
          <w:lang w:eastAsia="fr-FR"/>
        </w:rPr>
        <w:t>Ac</w:t>
      </w:r>
      <w:proofErr w:type="spellEnd"/>
      <w:r w:rsidRPr="0046083D">
        <w:rPr>
          <w:rFonts w:ascii="Times" w:hAnsi="Times" w:cs="Times New Roman"/>
          <w:sz w:val="20"/>
          <w:szCs w:val="20"/>
          <w:lang w:eastAsia="fr-FR"/>
        </w:rPr>
        <w:t xml:space="preserve"> 7, 51-60). Ce sont ceux qui, chemin faisant, perdent leur sérénité intérieure, la vivacité et l’audace, et se cachent derrière leurs dossiers, devenant les « rois du formulaire » et non « des hommes de Dieu » (cf. He, 3, 12). Il est dangereux de perdre cette sensibilité humaine qui permet de pleurer avec ceux qui pleurent et de se réjouir avec ceux qui se réjouissent ! C’est la maladie de ceux qui perdent « les dispositions » de Jésus (cf. Ph 2, 5-11). Car, au fil du temps, leur cœur se durcit et devient incapable d'aimer inconditionnellement le Père et le prochain (cf. Mt 22, 34-40). Être chrétien, en fait, signifie avoir « les dispositions qui sont dans le Christ Jésus » (cf. Ph 2, 5), dispositions à l'humilité et au don, au détachement et à la générosité (9).</w:t>
      </w:r>
    </w:p>
    <w:p w14:paraId="110D1908"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w:t>
      </w:r>
      <w:r w:rsidRPr="0046083D">
        <w:rPr>
          <w:rFonts w:ascii="Times" w:hAnsi="Times" w:cs="Times New Roman"/>
          <w:b/>
          <w:bCs/>
          <w:sz w:val="20"/>
          <w:szCs w:val="20"/>
          <w:lang w:eastAsia="fr-FR"/>
        </w:rPr>
        <w:t>4.</w:t>
      </w:r>
      <w:r w:rsidRPr="0046083D">
        <w:rPr>
          <w:rFonts w:ascii="Times" w:hAnsi="Times" w:cs="Times New Roman"/>
          <w:sz w:val="20"/>
          <w:szCs w:val="20"/>
          <w:lang w:eastAsia="fr-FR"/>
        </w:rPr>
        <w:t> </w:t>
      </w:r>
      <w:r w:rsidRPr="0046083D">
        <w:rPr>
          <w:rFonts w:ascii="Times" w:hAnsi="Times" w:cs="Times New Roman"/>
          <w:b/>
          <w:bCs/>
          <w:sz w:val="20"/>
          <w:szCs w:val="20"/>
          <w:lang w:eastAsia="fr-FR"/>
        </w:rPr>
        <w:t>La maladie de la planification excessive et du fonctionnarisme</w:t>
      </w:r>
      <w:r w:rsidRPr="0046083D">
        <w:rPr>
          <w:rFonts w:ascii="Times" w:hAnsi="Times" w:cs="Times New Roman"/>
          <w:sz w:val="20"/>
          <w:szCs w:val="20"/>
          <w:lang w:eastAsia="fr-FR"/>
        </w:rPr>
        <w:t xml:space="preserve">. Quand l’apôtre planifie tout minutieusement et croit que planifier à la perfection fait réellement avancer les choses, il se transforme pratiquement en expert-comptable ou en fiscaliste. Tout bien préparer est nécessaire mais il ne faut jamais succomber à la tentation de vouloir enfermer ou piloter la liberté de l’Esprit Saint, qui demeure toujours plus grande, plus généreuse que toute planification humaine (cf. </w:t>
      </w:r>
      <w:proofErr w:type="spellStart"/>
      <w:r w:rsidRPr="0046083D">
        <w:rPr>
          <w:rFonts w:ascii="Times" w:hAnsi="Times" w:cs="Times New Roman"/>
          <w:sz w:val="20"/>
          <w:szCs w:val="20"/>
          <w:lang w:eastAsia="fr-FR"/>
        </w:rPr>
        <w:t>Jn</w:t>
      </w:r>
      <w:proofErr w:type="spellEnd"/>
      <w:r w:rsidRPr="0046083D">
        <w:rPr>
          <w:rFonts w:ascii="Times" w:hAnsi="Times" w:cs="Times New Roman"/>
          <w:sz w:val="20"/>
          <w:szCs w:val="20"/>
          <w:lang w:eastAsia="fr-FR"/>
        </w:rPr>
        <w:t xml:space="preserve"> 3, 8). On se laisse gagner par cette maladie parce qu’il « est toujours plus facile et plus commode de se caler dans ses propres positions statiques et inchangées. En réalité, l’Église se montre fidèle à l’Esprit Saint dans la mesure où elle n’a pas la prétention de le régler ni de le domestiquer – domestiquer l’Esprit Saint ! – Il est fraîcheur, imagination, nouveauté » (10).</w:t>
      </w:r>
    </w:p>
    <w:p w14:paraId="3E85F085"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w:t>
      </w:r>
      <w:r w:rsidRPr="0046083D">
        <w:rPr>
          <w:rFonts w:ascii="Times" w:hAnsi="Times" w:cs="Times New Roman"/>
          <w:b/>
          <w:bCs/>
          <w:sz w:val="20"/>
          <w:szCs w:val="20"/>
          <w:lang w:eastAsia="fr-FR"/>
        </w:rPr>
        <w:t>5.</w:t>
      </w:r>
      <w:r w:rsidRPr="0046083D">
        <w:rPr>
          <w:rFonts w:ascii="Times" w:hAnsi="Times" w:cs="Times New Roman"/>
          <w:sz w:val="20"/>
          <w:szCs w:val="20"/>
          <w:lang w:eastAsia="fr-FR"/>
        </w:rPr>
        <w:t> </w:t>
      </w:r>
      <w:r w:rsidRPr="0046083D">
        <w:rPr>
          <w:rFonts w:ascii="Times" w:hAnsi="Times" w:cs="Times New Roman"/>
          <w:b/>
          <w:bCs/>
          <w:sz w:val="20"/>
          <w:szCs w:val="20"/>
          <w:lang w:eastAsia="fr-FR"/>
        </w:rPr>
        <w:t>La maladie de la mauvaise coordination</w:t>
      </w:r>
      <w:r w:rsidRPr="0046083D">
        <w:rPr>
          <w:rFonts w:ascii="Times" w:hAnsi="Times" w:cs="Times New Roman"/>
          <w:sz w:val="20"/>
          <w:szCs w:val="20"/>
          <w:lang w:eastAsia="fr-FR"/>
        </w:rPr>
        <w:t>. Quand il n’existe plus de communion entre les membres et que le corps est privé de son fonctionnement harmonieux et de sa tempérance en devenant un orchestre qui produit seulement du chahut, parce que ses membres ne collaborent pas et ne vivent pas l’esprit de communion et d’équipe. Lorsque le pied dit au bras : « je n'ai pas besoin de toi » ou la main à la tête : « c'est moi qui commande », provoquant ainsi malaise et scandale.</w:t>
      </w:r>
    </w:p>
    <w:p w14:paraId="3368E307"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w:t>
      </w:r>
      <w:r w:rsidRPr="0046083D">
        <w:rPr>
          <w:rFonts w:ascii="Times" w:hAnsi="Times" w:cs="Times New Roman"/>
          <w:b/>
          <w:bCs/>
          <w:sz w:val="20"/>
          <w:szCs w:val="20"/>
          <w:lang w:eastAsia="fr-FR"/>
        </w:rPr>
        <w:t xml:space="preserve">6. </w:t>
      </w:r>
      <w:r w:rsidRPr="0046083D">
        <w:rPr>
          <w:rFonts w:ascii="Times" w:hAnsi="Times" w:cs="Times New Roman"/>
          <w:sz w:val="20"/>
          <w:szCs w:val="20"/>
          <w:lang w:eastAsia="fr-FR"/>
        </w:rPr>
        <w:t xml:space="preserve">Il y a aussi </w:t>
      </w:r>
      <w:r w:rsidRPr="0046083D">
        <w:rPr>
          <w:rFonts w:ascii="Times" w:hAnsi="Times" w:cs="Times New Roman"/>
          <w:b/>
          <w:bCs/>
          <w:sz w:val="20"/>
          <w:szCs w:val="20"/>
          <w:lang w:eastAsia="fr-FR"/>
        </w:rPr>
        <w:t>la maladie d’« Alzheimer spirituelle »</w:t>
      </w:r>
      <w:r w:rsidRPr="0046083D">
        <w:rPr>
          <w:rFonts w:ascii="Times" w:hAnsi="Times" w:cs="Times New Roman"/>
          <w:sz w:val="20"/>
          <w:szCs w:val="20"/>
          <w:lang w:eastAsia="fr-FR"/>
        </w:rPr>
        <w:t>, c’est-à-dire l’oubli de « l'histoire du salut », de l'histoire personnelle avec le Seigneur, du « premier amour » (</w:t>
      </w:r>
      <w:proofErr w:type="spellStart"/>
      <w:r w:rsidRPr="0046083D">
        <w:rPr>
          <w:rFonts w:ascii="Times" w:hAnsi="Times" w:cs="Times New Roman"/>
          <w:sz w:val="20"/>
          <w:szCs w:val="20"/>
          <w:lang w:eastAsia="fr-FR"/>
        </w:rPr>
        <w:t>Ap</w:t>
      </w:r>
      <w:proofErr w:type="spellEnd"/>
      <w:r w:rsidRPr="0046083D">
        <w:rPr>
          <w:rFonts w:ascii="Times" w:hAnsi="Times" w:cs="Times New Roman"/>
          <w:sz w:val="20"/>
          <w:szCs w:val="20"/>
          <w:lang w:eastAsia="fr-FR"/>
        </w:rPr>
        <w:t xml:space="preserve"> 2, 4). Il s'agit d'un déclin progressif des facultés spirituelles qui, à plus ou moins long terme, provoque de graves handicaps chez la personne, la rendant incapable d'exercer une activité autonome. Celle-ci vit dans un état de dépendance absolue vis-à-vis de ses vues souvent imaginaires. Nous détectons cette maladie chez ceux qui ont perdu la mémoire de leur rencontre avec le Seigneur ; chez ceux qui ne perçoivent pas le sens historique de la vie ; chez ceux qui sont totalement dépendants de leur présent, de leurs passions, caprices et manies ; chez ceux qui construisent autour d'eux des murs et des habitudes et deviennent de plus en plus esclaves des idoles qu'ils ont sculptées de leurs propres mains.</w:t>
      </w:r>
    </w:p>
    <w:p w14:paraId="59DA4CAC"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lastRenderedPageBreak/>
        <w:t> </w:t>
      </w:r>
      <w:r w:rsidRPr="0046083D">
        <w:rPr>
          <w:rFonts w:ascii="Times" w:hAnsi="Times" w:cs="Times New Roman"/>
          <w:b/>
          <w:bCs/>
          <w:sz w:val="20"/>
          <w:szCs w:val="20"/>
          <w:lang w:eastAsia="fr-FR"/>
        </w:rPr>
        <w:t>7.</w:t>
      </w:r>
      <w:r w:rsidRPr="0046083D">
        <w:rPr>
          <w:rFonts w:ascii="Times" w:hAnsi="Times" w:cs="Times New Roman"/>
          <w:sz w:val="20"/>
          <w:szCs w:val="20"/>
          <w:lang w:eastAsia="fr-FR"/>
        </w:rPr>
        <w:t> </w:t>
      </w:r>
      <w:r w:rsidRPr="0046083D">
        <w:rPr>
          <w:rFonts w:ascii="Times" w:hAnsi="Times" w:cs="Times New Roman"/>
          <w:b/>
          <w:bCs/>
          <w:sz w:val="20"/>
          <w:szCs w:val="20"/>
          <w:lang w:eastAsia="fr-FR"/>
        </w:rPr>
        <w:t>La maladie de la rivalité et de la vanité</w:t>
      </w:r>
      <w:r w:rsidRPr="0046083D">
        <w:rPr>
          <w:rFonts w:ascii="Times" w:hAnsi="Times" w:cs="Times New Roman"/>
          <w:sz w:val="20"/>
          <w:szCs w:val="20"/>
          <w:lang w:eastAsia="fr-FR"/>
        </w:rPr>
        <w:t xml:space="preserve"> (11). Quand l’apparence, les couleurs des vêtements, les signes honorifiques deviennent le premier objectif de la vie, et que l’on oublie les paroles de </w:t>
      </w:r>
      <w:hyperlink r:id="rId17" w:tgtFrame="_blank" w:history="1">
        <w:r w:rsidRPr="0046083D">
          <w:rPr>
            <w:rFonts w:ascii="Times" w:hAnsi="Times" w:cs="Times New Roman"/>
            <w:color w:val="0000FF"/>
            <w:sz w:val="20"/>
            <w:szCs w:val="20"/>
            <w:u w:val="single"/>
            <w:lang w:eastAsia="fr-FR"/>
          </w:rPr>
          <w:t>saint Paul</w:t>
        </w:r>
      </w:hyperlink>
      <w:r w:rsidRPr="0046083D">
        <w:rPr>
          <w:rFonts w:ascii="Times" w:hAnsi="Times" w:cs="Times New Roman"/>
          <w:sz w:val="20"/>
          <w:szCs w:val="20"/>
          <w:lang w:eastAsia="fr-FR"/>
        </w:rPr>
        <w:t> : « Ne soyez jamais intrigants ni vaniteux, mais ayez assez d’humilité pour estimer les autres supérieurs à vous-mêmes. Que chacun de vous ne soit pas préoccupé de ses propres intérêts ; pensez aussi à ceux des autres » (Ph 2, 3-4). C'est la maladie qui nous pousse à être des hommes et des femmes faux et à vivre un faux « mysticisme », et un faux « quiétisme ». Paul lui-même les définit comme des « ennemis de la croix du Christ » parce qu'ils « mettent leur gloire dans ce qui fait leur honte ; ils ne pensent qu’aux choses de la terre » (Ph 3, 18-19).</w:t>
      </w:r>
    </w:p>
    <w:p w14:paraId="26BC471D"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w:t>
      </w:r>
      <w:r w:rsidRPr="0046083D">
        <w:rPr>
          <w:rFonts w:ascii="Times" w:hAnsi="Times" w:cs="Times New Roman"/>
          <w:b/>
          <w:bCs/>
          <w:sz w:val="20"/>
          <w:szCs w:val="20"/>
          <w:lang w:eastAsia="fr-FR"/>
        </w:rPr>
        <w:t>8.</w:t>
      </w:r>
      <w:r w:rsidRPr="0046083D">
        <w:rPr>
          <w:rFonts w:ascii="Times" w:hAnsi="Times" w:cs="Times New Roman"/>
          <w:sz w:val="20"/>
          <w:szCs w:val="20"/>
          <w:lang w:eastAsia="fr-FR"/>
        </w:rPr>
        <w:t> </w:t>
      </w:r>
      <w:r w:rsidRPr="0046083D">
        <w:rPr>
          <w:rFonts w:ascii="Times" w:hAnsi="Times" w:cs="Times New Roman"/>
          <w:b/>
          <w:bCs/>
          <w:sz w:val="20"/>
          <w:szCs w:val="20"/>
          <w:lang w:eastAsia="fr-FR"/>
        </w:rPr>
        <w:t>La maladie de la schizophrénie existentielle</w:t>
      </w:r>
      <w:r w:rsidRPr="0046083D">
        <w:rPr>
          <w:rFonts w:ascii="Times" w:hAnsi="Times" w:cs="Times New Roman"/>
          <w:sz w:val="20"/>
          <w:szCs w:val="20"/>
          <w:lang w:eastAsia="fr-FR"/>
        </w:rPr>
        <w:t xml:space="preserve">. C’est la maladie de ceux qui ont une double vie, fruit de l’hypocrisie typique du médiocre et du vide spirituel progressif que les diplômes et les titres académiques ne peuvent combler. Une maladie qui frappe souvent ceux qui, abandonnant le service pastoral, se limitent aux tâches bureaucratiques et perdent ainsi le contact avec la réalité, avec les personnes concrètes. Ils créent ainsi un monde parallèle, à eux, où ils mettent de côté tout ce qu'ils enseignent sévèrement aux autres et où ils commencent à vivre une vie cachée et souvent dissolue. La conversion est assez urgente et indispensable pour lutter contre cette maladie extrêmement grave (cf. </w:t>
      </w:r>
      <w:proofErr w:type="spellStart"/>
      <w:r w:rsidRPr="0046083D">
        <w:rPr>
          <w:rFonts w:ascii="Times" w:hAnsi="Times" w:cs="Times New Roman"/>
          <w:sz w:val="20"/>
          <w:szCs w:val="20"/>
          <w:lang w:eastAsia="fr-FR"/>
        </w:rPr>
        <w:t>Lc</w:t>
      </w:r>
      <w:proofErr w:type="spellEnd"/>
      <w:r w:rsidRPr="0046083D">
        <w:rPr>
          <w:rFonts w:ascii="Times" w:hAnsi="Times" w:cs="Times New Roman"/>
          <w:sz w:val="20"/>
          <w:szCs w:val="20"/>
          <w:lang w:eastAsia="fr-FR"/>
        </w:rPr>
        <w:t xml:space="preserve"> 15, 11-32).</w:t>
      </w:r>
    </w:p>
    <w:p w14:paraId="2000FB34"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w:t>
      </w:r>
      <w:r w:rsidRPr="0046083D">
        <w:rPr>
          <w:rFonts w:ascii="Times" w:hAnsi="Times" w:cs="Times New Roman"/>
          <w:b/>
          <w:bCs/>
          <w:sz w:val="20"/>
          <w:szCs w:val="20"/>
          <w:lang w:eastAsia="fr-FR"/>
        </w:rPr>
        <w:t>9.</w:t>
      </w:r>
      <w:r w:rsidRPr="0046083D">
        <w:rPr>
          <w:rFonts w:ascii="Times" w:hAnsi="Times" w:cs="Times New Roman"/>
          <w:sz w:val="20"/>
          <w:szCs w:val="20"/>
          <w:lang w:eastAsia="fr-FR"/>
        </w:rPr>
        <w:t> </w:t>
      </w:r>
      <w:r w:rsidRPr="0046083D">
        <w:rPr>
          <w:rFonts w:ascii="Times" w:hAnsi="Times" w:cs="Times New Roman"/>
          <w:b/>
          <w:bCs/>
          <w:sz w:val="20"/>
          <w:szCs w:val="20"/>
          <w:lang w:eastAsia="fr-FR"/>
        </w:rPr>
        <w:t>La maladie de la rumeur, de la médisance, et du commérage</w:t>
      </w:r>
      <w:r w:rsidRPr="0046083D">
        <w:rPr>
          <w:rFonts w:ascii="Times" w:hAnsi="Times" w:cs="Times New Roman"/>
          <w:sz w:val="20"/>
          <w:szCs w:val="20"/>
          <w:lang w:eastAsia="fr-FR"/>
        </w:rPr>
        <w:t>. J’ai déjà parlé de nombreuses fois de cette maladie, mais cela ne suffit pas encore. C’est une maladie grave, qui commence simplement, peut-être seulement pour faire un brin de causette, et qui s’empare de la personne. Celle-ci se met alors à « semer de la zizanie » (comme Satan), et dans beaucoup de cas à « assassiner de sang froid » la réputation de ses propres collègues et confrères. C’est la maladie des personnes lâches qui, n'ayant pas le courage de parler directement et parlent dans le dos. Saint Paul avertit : « Faites tout sans récriminer et sans discuter ; ainsi vous serez irréprochables et purs » (Ph 2, 14-18). Frères, gardons-nous du terrorisme des bavardages !</w:t>
      </w:r>
    </w:p>
    <w:p w14:paraId="60B1C14C"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w:t>
      </w:r>
      <w:r w:rsidRPr="0046083D">
        <w:rPr>
          <w:rFonts w:ascii="Times" w:hAnsi="Times" w:cs="Times New Roman"/>
          <w:b/>
          <w:bCs/>
          <w:sz w:val="20"/>
          <w:szCs w:val="20"/>
          <w:lang w:eastAsia="fr-FR"/>
        </w:rPr>
        <w:t>10.</w:t>
      </w:r>
      <w:r w:rsidRPr="0046083D">
        <w:rPr>
          <w:rFonts w:ascii="Times" w:hAnsi="Times" w:cs="Times New Roman"/>
          <w:sz w:val="20"/>
          <w:szCs w:val="20"/>
          <w:lang w:eastAsia="fr-FR"/>
        </w:rPr>
        <w:t> </w:t>
      </w:r>
      <w:r w:rsidRPr="0046083D">
        <w:rPr>
          <w:rFonts w:ascii="Times" w:hAnsi="Times" w:cs="Times New Roman"/>
          <w:b/>
          <w:bCs/>
          <w:sz w:val="20"/>
          <w:szCs w:val="20"/>
          <w:lang w:eastAsia="fr-FR"/>
        </w:rPr>
        <w:t>La maladie qui consiste à diviniser les chefs</w:t>
      </w:r>
      <w:r w:rsidRPr="0046083D">
        <w:rPr>
          <w:rFonts w:ascii="Times" w:hAnsi="Times" w:cs="Times New Roman"/>
          <w:sz w:val="20"/>
          <w:szCs w:val="20"/>
          <w:lang w:eastAsia="fr-FR"/>
        </w:rPr>
        <w:t>. C’est la maladie de ceux qui courtisent leurs supérieurs, en espérant obtenir leur bienveillance. Ils sont victimes du carriérisme et de l’opportunisme, ils honorent les personnes et non Dieu (cf. Mt 23, 8-12). Ce sont des personnes qui vivent le service en pensant uniquement à ce qu'ils doivent obtenir, et non à ce qu'ils doivent donner. Des personnes mesquines, malheureuses, et inspirées seulement par leur égoïsme fatal (cf. Ga 5, 16-25). Cette maladie pourrait frapper aussi les supérieurs quand ils courtisent certains de leurs collaborateurs pour obtenir leur soumission, leur loyauté et leur dépendance psychologique, mais il en résulte au final une véritable complicité.</w:t>
      </w:r>
    </w:p>
    <w:p w14:paraId="1E515E6C"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w:t>
      </w:r>
      <w:r w:rsidRPr="0046083D">
        <w:rPr>
          <w:rFonts w:ascii="Times" w:hAnsi="Times" w:cs="Times New Roman"/>
          <w:b/>
          <w:bCs/>
          <w:sz w:val="20"/>
          <w:szCs w:val="20"/>
          <w:lang w:eastAsia="fr-FR"/>
        </w:rPr>
        <w:t>11.</w:t>
      </w:r>
      <w:r w:rsidRPr="0046083D">
        <w:rPr>
          <w:rFonts w:ascii="Times" w:hAnsi="Times" w:cs="Times New Roman"/>
          <w:sz w:val="20"/>
          <w:szCs w:val="20"/>
          <w:lang w:eastAsia="fr-FR"/>
        </w:rPr>
        <w:t> </w:t>
      </w:r>
      <w:r w:rsidRPr="0046083D">
        <w:rPr>
          <w:rFonts w:ascii="Times" w:hAnsi="Times" w:cs="Times New Roman"/>
          <w:b/>
          <w:bCs/>
          <w:sz w:val="20"/>
          <w:szCs w:val="20"/>
          <w:lang w:eastAsia="fr-FR"/>
        </w:rPr>
        <w:t>La maladie de l’indifférence envers les autres</w:t>
      </w:r>
      <w:r w:rsidRPr="0046083D">
        <w:rPr>
          <w:rFonts w:ascii="Times" w:hAnsi="Times" w:cs="Times New Roman"/>
          <w:sz w:val="20"/>
          <w:szCs w:val="20"/>
          <w:lang w:eastAsia="fr-FR"/>
        </w:rPr>
        <w:t>. Elle survient quand chacun ne pense qu’à soi et perd la sincérité et la chaleur des relations humaines. Quand le plus expert ne met pas ses connaissances au service des collègues qui le sont moins. Quand on vient à apprendre quelque chose et qu’on le garde pour soi au lieu de le partager de manière positive avec les autres. Quand, par jalousie ou par ruse, on éprouve de la joie à voir l'autre tomber au lieu de le relever et de l'encourager.</w:t>
      </w:r>
    </w:p>
    <w:p w14:paraId="32A01899"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w:t>
      </w:r>
      <w:r w:rsidRPr="0046083D">
        <w:rPr>
          <w:rFonts w:ascii="Times" w:hAnsi="Times" w:cs="Times New Roman"/>
          <w:b/>
          <w:bCs/>
          <w:sz w:val="20"/>
          <w:szCs w:val="20"/>
          <w:lang w:eastAsia="fr-FR"/>
        </w:rPr>
        <w:t>12.</w:t>
      </w:r>
      <w:r w:rsidRPr="0046083D">
        <w:rPr>
          <w:rFonts w:ascii="Times" w:hAnsi="Times" w:cs="Times New Roman"/>
          <w:sz w:val="20"/>
          <w:szCs w:val="20"/>
          <w:lang w:eastAsia="fr-FR"/>
        </w:rPr>
        <w:t> </w:t>
      </w:r>
      <w:r w:rsidRPr="0046083D">
        <w:rPr>
          <w:rFonts w:ascii="Times" w:hAnsi="Times" w:cs="Times New Roman"/>
          <w:b/>
          <w:bCs/>
          <w:sz w:val="20"/>
          <w:szCs w:val="20"/>
          <w:lang w:eastAsia="fr-FR"/>
        </w:rPr>
        <w:t>La maladie du visage lugubre</w:t>
      </w:r>
      <w:r w:rsidRPr="0046083D">
        <w:rPr>
          <w:rFonts w:ascii="Times" w:hAnsi="Times" w:cs="Times New Roman"/>
          <w:sz w:val="20"/>
          <w:szCs w:val="20"/>
          <w:lang w:eastAsia="fr-FR"/>
        </w:rPr>
        <w:t>. Elle est celle des personnes bourrues et revêches, qui estiment que pour être sérieux il faut porter le masque de la mélancolie, de la sévérité, et traiter les autres – surtout ceux que l’on considère comme inférieurs – avec rigidité, dureté et arrogance. En réalité, la sévérité théâtrale et le pessimisme stérile (12) sont souvent les symptômes d’un sentiment de peur et de d’insécurité. L’apôtre doit s'efforcer d'être une personne courtoise, sereine, enthousiaste et joyeuse qui transmet la joie quel que soit l’endroit où il se trouve. Un cœur empli de Dieu est un cœur heureux qui irradie et communique sa joie à tous ceux qui l'entourent : cela se voit tout de suite ! Ne perdons donc pas cet esprit joyeux, qui sait manier l'humour, et même l'autodérision, qui font de nous des personnes aimables même dans les situations difficiles (13). Comme une bonne dose d'humour sain nous fait du bien ! Réciter souvent la prière de saint Thomas More nous fera le plus grand bien : je le fais tous les jours, cela me fait du bien (14).</w:t>
      </w:r>
    </w:p>
    <w:p w14:paraId="42DC645F"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w:t>
      </w:r>
      <w:r w:rsidRPr="0046083D">
        <w:rPr>
          <w:rFonts w:ascii="Times" w:hAnsi="Times" w:cs="Times New Roman"/>
          <w:b/>
          <w:bCs/>
          <w:sz w:val="20"/>
          <w:szCs w:val="20"/>
          <w:lang w:eastAsia="fr-FR"/>
        </w:rPr>
        <w:t>13.</w:t>
      </w:r>
      <w:r w:rsidRPr="0046083D">
        <w:rPr>
          <w:rFonts w:ascii="Times" w:hAnsi="Times" w:cs="Times New Roman"/>
          <w:sz w:val="20"/>
          <w:szCs w:val="20"/>
          <w:lang w:eastAsia="fr-FR"/>
        </w:rPr>
        <w:t> </w:t>
      </w:r>
      <w:r w:rsidRPr="0046083D">
        <w:rPr>
          <w:rFonts w:ascii="Times" w:hAnsi="Times" w:cs="Times New Roman"/>
          <w:b/>
          <w:bCs/>
          <w:sz w:val="20"/>
          <w:szCs w:val="20"/>
          <w:lang w:eastAsia="fr-FR"/>
        </w:rPr>
        <w:t>La maladie qui consiste à accumuler</w:t>
      </w:r>
      <w:r w:rsidRPr="0046083D">
        <w:rPr>
          <w:rFonts w:ascii="Times" w:hAnsi="Times" w:cs="Times New Roman"/>
          <w:sz w:val="20"/>
          <w:szCs w:val="20"/>
          <w:lang w:eastAsia="fr-FR"/>
        </w:rPr>
        <w:t>. Souffre de celle-ci l’apôtre qui cherche à combler un vide existentiel dans son cœur en accumulant les biens matériels, non pas par nécessité, mais seulement pour se sentir en sécurité. En réalité, nous ne pourrons emporter avec nous rien de matériel parce que « le linceul n’a pas de poches » et tous nos trésors terrestres – même si ce sont des cadeaux – ne pourront jamais combler ce vide. Au contraire, ils le rendront encore plus exigeant, et plus profond. À ces personnes, le Seigneur rappelle : « Tu dis : ‘Je suis riche, je me suis enrichi, je ne manque de rien’, et tu ne sais pas que tu es malheureux, pitoyable, pauvre, aveugle et nu ! […]. Eh bien, sois fervent et convertis-toi » (</w:t>
      </w:r>
      <w:proofErr w:type="spellStart"/>
      <w:r w:rsidRPr="0046083D">
        <w:rPr>
          <w:rFonts w:ascii="Times" w:hAnsi="Times" w:cs="Times New Roman"/>
          <w:sz w:val="20"/>
          <w:szCs w:val="20"/>
          <w:lang w:eastAsia="fr-FR"/>
        </w:rPr>
        <w:t>Ap</w:t>
      </w:r>
      <w:proofErr w:type="spellEnd"/>
      <w:r w:rsidRPr="0046083D">
        <w:rPr>
          <w:rFonts w:ascii="Times" w:hAnsi="Times" w:cs="Times New Roman"/>
          <w:sz w:val="20"/>
          <w:szCs w:val="20"/>
          <w:lang w:eastAsia="fr-FR"/>
        </w:rPr>
        <w:t xml:space="preserve"> 3, 17-19). L'accumulation ne fait que nous alourdir et ralentir inexorablement notre chemin ! Je pense à une anecdote. Autrefois, les jésuites espagnols décrivaient la Compagnie de Jésus comme la « cavalerie légère de l'Église ». Je me souviens du déménagement d'un jeune jésuite : il était en train de charger dans un camion tout ce qu'il avait – bagages, livres, objets, cadeaux </w:t>
      </w:r>
      <w:r w:rsidRPr="0046083D">
        <w:rPr>
          <w:rFonts w:ascii="Times" w:hAnsi="Times" w:cs="Times New Roman"/>
          <w:sz w:val="20"/>
          <w:szCs w:val="20"/>
          <w:lang w:eastAsia="fr-FR"/>
        </w:rPr>
        <w:lastRenderedPageBreak/>
        <w:t>–, quand un vieux jésuite qui l'observait lui dit : « Ce serait cela la ‘cavalerie légère de l'Église’ ? » Nos déménagements sont un signe de cette maladie.</w:t>
      </w:r>
    </w:p>
    <w:p w14:paraId="1C037298"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w:t>
      </w:r>
      <w:r w:rsidRPr="0046083D">
        <w:rPr>
          <w:rFonts w:ascii="Times" w:hAnsi="Times" w:cs="Times New Roman"/>
          <w:b/>
          <w:bCs/>
          <w:sz w:val="20"/>
          <w:szCs w:val="20"/>
          <w:lang w:eastAsia="fr-FR"/>
        </w:rPr>
        <w:t>14.</w:t>
      </w:r>
      <w:r w:rsidRPr="0046083D">
        <w:rPr>
          <w:rFonts w:ascii="Times" w:hAnsi="Times" w:cs="Times New Roman"/>
          <w:sz w:val="20"/>
          <w:szCs w:val="20"/>
          <w:lang w:eastAsia="fr-FR"/>
        </w:rPr>
        <w:t> </w:t>
      </w:r>
      <w:r w:rsidRPr="0046083D">
        <w:rPr>
          <w:rFonts w:ascii="Times" w:hAnsi="Times" w:cs="Times New Roman"/>
          <w:b/>
          <w:bCs/>
          <w:sz w:val="20"/>
          <w:szCs w:val="20"/>
          <w:lang w:eastAsia="fr-FR"/>
        </w:rPr>
        <w:t>La maladie des cercles fermés</w:t>
      </w:r>
      <w:r w:rsidRPr="0046083D">
        <w:rPr>
          <w:rFonts w:ascii="Times" w:hAnsi="Times" w:cs="Times New Roman"/>
          <w:sz w:val="20"/>
          <w:szCs w:val="20"/>
          <w:lang w:eastAsia="fr-FR"/>
        </w:rPr>
        <w:t>, quand l’appartenance à un petit groupe devient plus forte que celle au Corps et, dans certaines situations, au Christ lui-même. Cette maladie elle aussi commence toujours par de bonnes intentions, mais au fil du temps, elle asservit ses membres, devient un cancer qui menace l’harmonie du Corps et cause tellement de mal – des scandales –, spécialement aux plus petits de nos frères. L'autodestruction ou le « tir ami » des frères d’armes est le danger le plus sournois (15). C'est le mal qui frappe de l'intérieur (16) et, comme le dit le Christ, « tout royaume divisé contre lui-même devient désert » (</w:t>
      </w:r>
      <w:proofErr w:type="spellStart"/>
      <w:r w:rsidRPr="0046083D">
        <w:rPr>
          <w:rFonts w:ascii="Times" w:hAnsi="Times" w:cs="Times New Roman"/>
          <w:sz w:val="20"/>
          <w:szCs w:val="20"/>
          <w:lang w:eastAsia="fr-FR"/>
        </w:rPr>
        <w:t>Lc</w:t>
      </w:r>
      <w:proofErr w:type="spellEnd"/>
      <w:r w:rsidRPr="0046083D">
        <w:rPr>
          <w:rFonts w:ascii="Times" w:hAnsi="Times" w:cs="Times New Roman"/>
          <w:sz w:val="20"/>
          <w:szCs w:val="20"/>
          <w:lang w:eastAsia="fr-FR"/>
        </w:rPr>
        <w:t xml:space="preserve"> 11, 17).</w:t>
      </w:r>
    </w:p>
    <w:p w14:paraId="4B500224"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w:t>
      </w:r>
      <w:r w:rsidRPr="0046083D">
        <w:rPr>
          <w:rFonts w:ascii="Times" w:hAnsi="Times" w:cs="Times New Roman"/>
          <w:b/>
          <w:bCs/>
          <w:sz w:val="20"/>
          <w:szCs w:val="20"/>
          <w:lang w:eastAsia="fr-FR"/>
        </w:rPr>
        <w:t>15.</w:t>
      </w:r>
      <w:r w:rsidRPr="0046083D">
        <w:rPr>
          <w:rFonts w:ascii="Times" w:hAnsi="Times" w:cs="Times New Roman"/>
          <w:sz w:val="20"/>
          <w:szCs w:val="20"/>
          <w:lang w:eastAsia="fr-FR"/>
        </w:rPr>
        <w:t xml:space="preserve"> Et la dernière, </w:t>
      </w:r>
      <w:r w:rsidRPr="0046083D">
        <w:rPr>
          <w:rFonts w:ascii="Times" w:hAnsi="Times" w:cs="Times New Roman"/>
          <w:b/>
          <w:bCs/>
          <w:sz w:val="20"/>
          <w:szCs w:val="20"/>
          <w:lang w:eastAsia="fr-FR"/>
        </w:rPr>
        <w:t>la maladie du profit mondain, des exhibitionnismes</w:t>
      </w:r>
      <w:r w:rsidRPr="0046083D">
        <w:rPr>
          <w:rFonts w:ascii="Times" w:hAnsi="Times" w:cs="Times New Roman"/>
          <w:sz w:val="20"/>
          <w:szCs w:val="20"/>
          <w:lang w:eastAsia="fr-FR"/>
        </w:rPr>
        <w:t> (17). Elle est celle de l’apôtre qui transforme son service en pouvoir, et son pouvoir en marchandise pour obtenir des profits mondains, ou davantage de pouvoir. C’est la maladie des personnes qui cherchent insatiablement à multiplier les pouvoirs et dans ce but, ils sont capables de calomnier, de diffamer, de discréditer les autres, jusque dans les journaux et les magazines. Naturellement, dans le but de s'afficher et de montrer qu'ils sont davantage capables que les autres. Cette maladie fait elle aussi beaucoup de mal au Corps parce qu'elle conduit les personnes à justifier l’usage de n’importe quel moyen pour atteindre ce but, souvent au nom de la justice et de la transparence ! Il me vient à l'esprit le souvenir d'un prêtre qui appelait les journalistes pour leur raconter – et inventer – des choses privées et personnelles sur ses confrères et ses paroissiens. Pour lui, seul comptait le fait de se voir à la une des journaux, parce qu'ainsi il se sentait « puissant et irrésistible ». Il faisait tellement de mal aux autres et à l'Église. Le pauvre !</w:t>
      </w:r>
    </w:p>
    <w:p w14:paraId="576EFF82"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Frères, de telles maladies et de telles tentations sont naturellement un danger pour tout chrétien et pour toute curie, communauté, congrégation, paroisse, mouvement ecclésial. Et elles peuvent frapper au niveau individuel ou communautaire.</w:t>
      </w:r>
    </w:p>
    <w:p w14:paraId="584D15A9" w14:textId="77777777" w:rsidR="0046083D" w:rsidRPr="0046083D" w:rsidRDefault="0046083D" w:rsidP="0046083D">
      <w:pPr>
        <w:spacing w:before="100" w:beforeAutospacing="1" w:after="100" w:afterAutospacing="1"/>
        <w:outlineLvl w:val="2"/>
        <w:rPr>
          <w:rFonts w:ascii="Times" w:eastAsia="Times New Roman" w:hAnsi="Times" w:cs="Times New Roman"/>
          <w:b/>
          <w:bCs/>
          <w:sz w:val="27"/>
          <w:szCs w:val="27"/>
          <w:lang w:eastAsia="fr-FR"/>
        </w:rPr>
      </w:pPr>
      <w:bookmarkStart w:id="3" w:name="eztoc41374739_0_9"/>
      <w:bookmarkEnd w:id="3"/>
      <w:r w:rsidRPr="0046083D">
        <w:rPr>
          <w:rFonts w:ascii="Times" w:eastAsia="Times New Roman" w:hAnsi="Times" w:cs="Times New Roman"/>
          <w:b/>
          <w:bCs/>
          <w:sz w:val="27"/>
          <w:szCs w:val="27"/>
          <w:lang w:eastAsia="fr-FR"/>
        </w:rPr>
        <w:t>Seul l’Esprit Saint guérit toute maladie</w:t>
      </w:r>
    </w:p>
    <w:p w14:paraId="2044E2C4"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xml:space="preserve">Soyons clairs : seul l’Esprit Saint – l’âme du Corps mystique du Christ, comme l'affirme le </w:t>
      </w:r>
      <w:hyperlink r:id="rId18" w:tgtFrame="_blank" w:history="1">
        <w:r w:rsidRPr="0046083D">
          <w:rPr>
            <w:rFonts w:ascii="Times" w:hAnsi="Times" w:cs="Times New Roman"/>
            <w:color w:val="0000FF"/>
            <w:sz w:val="20"/>
            <w:szCs w:val="20"/>
            <w:u w:val="single"/>
            <w:lang w:eastAsia="fr-FR"/>
          </w:rPr>
          <w:t>Credo</w:t>
        </w:r>
      </w:hyperlink>
      <w:r w:rsidRPr="0046083D">
        <w:rPr>
          <w:rFonts w:ascii="Times" w:hAnsi="Times" w:cs="Times New Roman"/>
          <w:sz w:val="20"/>
          <w:szCs w:val="20"/>
          <w:lang w:eastAsia="fr-FR"/>
        </w:rPr>
        <w:t xml:space="preserve"> de Nicée-Constantinople (« Je crois en l’Esprit Saint qui est Seigneur et qui donne la vie ») – guérit toute maladie. C'est l’Esprit Saint qui soutient tout effort sincère de purification et toute bonne volonté de se convertir. C'est lui qui nous fait comprendre que tout membre participe à la sanctification du Corps et à son affaiblissement. C'est lui le promoteur de l'harmonie (18) : « </w:t>
      </w:r>
      <w:proofErr w:type="spellStart"/>
      <w:r w:rsidRPr="0046083D">
        <w:rPr>
          <w:rFonts w:ascii="Times" w:hAnsi="Times" w:cs="Times New Roman"/>
          <w:i/>
          <w:iCs/>
          <w:sz w:val="20"/>
          <w:szCs w:val="20"/>
          <w:lang w:eastAsia="fr-FR"/>
        </w:rPr>
        <w:t>Ipse</w:t>
      </w:r>
      <w:proofErr w:type="spellEnd"/>
      <w:r w:rsidRPr="0046083D">
        <w:rPr>
          <w:rFonts w:ascii="Times" w:hAnsi="Times" w:cs="Times New Roman"/>
          <w:i/>
          <w:iCs/>
          <w:sz w:val="20"/>
          <w:szCs w:val="20"/>
          <w:lang w:eastAsia="fr-FR"/>
        </w:rPr>
        <w:t xml:space="preserve"> harmonia est</w:t>
      </w:r>
      <w:r w:rsidRPr="0046083D">
        <w:rPr>
          <w:rFonts w:ascii="Times" w:hAnsi="Times" w:cs="Times New Roman"/>
          <w:sz w:val="20"/>
          <w:szCs w:val="20"/>
          <w:lang w:eastAsia="fr-FR"/>
        </w:rPr>
        <w:t> », dit saint Basile. Saint Augustin nous dit : « Tant qu’une partie adhère au Corps, sa guérison n'est pas désespérée ; ce qui a été sectionné ne peut être ni soigné ni guéri » (19).</w:t>
      </w:r>
    </w:p>
    <w:p w14:paraId="0DBC4209"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La guérison est aussi le fruit de la conscience de la maladie et de la décision personnelle et communautaire de se soigner en supportant le traitement avec patience et persévérance (20). Nous sommes donc appelés – en ce temps de Noël et pour toute la durée de notre service et de notre existence – à vivre « dans la vérité de l’amour ». « Nous grandirons pour nous élever en tout jusqu’à celui qui est la Tête, le Christ. Et par lui, dans l’harmonie et la cohésion, tout le corps poursuit sa croissance, grâce aux articulations qui le maintiennent, selon l’énergie qui est à la mesure de chaque membre. Ainsi le corps se construit dans l’amour » (Ep 4, 15-16).</w:t>
      </w:r>
    </w:p>
    <w:p w14:paraId="0A3E1C07"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Chers frères!</w:t>
      </w:r>
    </w:p>
    <w:p w14:paraId="0BC5FA55"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J’ai lu un jour que les prêtres sont comme les avions : ils ne font la une des journaux que lorsqu’ils tombent, mais il y en a beaucoup qui volent. Beaucoup critiquent et peu prient pour eux. C’est une phrase très sympathique mais aussi très vraie, parce qu'elle souligne l'importance et la délicatesse de notre service sacerdotal et tout le mal que peut causer à tout le corps de l'Église un seul prêtre qui « tombe ».</w:t>
      </w:r>
    </w:p>
    <w:p w14:paraId="452154C9"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xml:space="preserve">Donc, pour ne pas tomber en ces jours où nous nous préparons à la confession, demandons à la Vierge Marie, Mère de Dieu et Mère de l’Église, de guérir les blessures du </w:t>
      </w:r>
      <w:hyperlink r:id="rId19" w:tgtFrame="_blank" w:history="1">
        <w:r w:rsidRPr="0046083D">
          <w:rPr>
            <w:rFonts w:ascii="Times" w:hAnsi="Times" w:cs="Times New Roman"/>
            <w:color w:val="0000FF"/>
            <w:sz w:val="20"/>
            <w:szCs w:val="20"/>
            <w:u w:val="single"/>
            <w:lang w:eastAsia="fr-FR"/>
          </w:rPr>
          <w:t>péché</w:t>
        </w:r>
      </w:hyperlink>
      <w:r w:rsidRPr="0046083D">
        <w:rPr>
          <w:rFonts w:ascii="Times" w:hAnsi="Times" w:cs="Times New Roman"/>
          <w:sz w:val="20"/>
          <w:szCs w:val="20"/>
          <w:lang w:eastAsia="fr-FR"/>
        </w:rPr>
        <w:t xml:space="preserve"> que chacun de nous porte dans son cœur, et de soutenir l’Église et la Curie pour qu'elles soient guéries et qu’elles guérissent elles-mêmes ; pour qu’elles soient saintes et sanctificatrices ; à la gloire de son Fils et pour notre salut et celui du monde entier. Demandons-lui de nous faire aimer l'Église comme le Christ, son Fils et notre Seigneur, l'a aimée, et d'avoir le courage de nous reconnaître pécheurs et d’exprimer le besoin de sa </w:t>
      </w:r>
      <w:hyperlink r:id="rId20" w:tgtFrame="_blank" w:history="1">
        <w:r w:rsidRPr="0046083D">
          <w:rPr>
            <w:rFonts w:ascii="Times" w:hAnsi="Times" w:cs="Times New Roman"/>
            <w:color w:val="0000FF"/>
            <w:sz w:val="20"/>
            <w:szCs w:val="20"/>
            <w:u w:val="single"/>
            <w:lang w:eastAsia="fr-FR"/>
          </w:rPr>
          <w:t>miséricorde</w:t>
        </w:r>
      </w:hyperlink>
      <w:r w:rsidRPr="0046083D">
        <w:rPr>
          <w:rFonts w:ascii="Times" w:hAnsi="Times" w:cs="Times New Roman"/>
          <w:sz w:val="20"/>
          <w:szCs w:val="20"/>
          <w:lang w:eastAsia="fr-FR"/>
        </w:rPr>
        <w:t> et de ne pas avoir peur d'abandonner notre main entre ses mains maternelles.</w:t>
      </w:r>
    </w:p>
    <w:p w14:paraId="2ABE8EEB"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lastRenderedPageBreak/>
        <w:t xml:space="preserve">Tous mes vœux à l’occasion de cette sainte fête de Noël à vous tous, à vos familles, et à vos collaborateurs. Et s’il vous plaît, n’oubliez pas de </w:t>
      </w:r>
      <w:hyperlink r:id="rId21" w:tgtFrame="_blank" w:history="1">
        <w:r w:rsidRPr="0046083D">
          <w:rPr>
            <w:rFonts w:ascii="Times" w:hAnsi="Times" w:cs="Times New Roman"/>
            <w:color w:val="0000FF"/>
            <w:sz w:val="20"/>
            <w:szCs w:val="20"/>
            <w:u w:val="single"/>
            <w:lang w:eastAsia="fr-FR"/>
          </w:rPr>
          <w:t>prier</w:t>
        </w:r>
      </w:hyperlink>
      <w:r w:rsidRPr="0046083D">
        <w:rPr>
          <w:rFonts w:ascii="Times" w:hAnsi="Times" w:cs="Times New Roman"/>
          <w:sz w:val="20"/>
          <w:szCs w:val="20"/>
          <w:lang w:eastAsia="fr-FR"/>
        </w:rPr>
        <w:t> pour moi ! Merci de tout cœur !</w:t>
      </w:r>
    </w:p>
    <w:p w14:paraId="6B7D966D" w14:textId="77777777" w:rsidR="0046083D" w:rsidRPr="0046083D" w:rsidRDefault="0046083D" w:rsidP="0046083D">
      <w:pPr>
        <w:spacing w:before="100" w:beforeAutospacing="1" w:after="100" w:afterAutospacing="1"/>
        <w:rPr>
          <w:rFonts w:ascii="Times" w:hAnsi="Times" w:cs="Times New Roman"/>
          <w:sz w:val="20"/>
          <w:szCs w:val="20"/>
          <w:lang w:eastAsia="fr-FR"/>
        </w:rPr>
      </w:pPr>
      <w:bookmarkStart w:id="4" w:name="note_"/>
      <w:bookmarkEnd w:id="4"/>
      <w:r w:rsidRPr="0046083D">
        <w:rPr>
          <w:rFonts w:ascii="Times" w:hAnsi="Times" w:cs="Times New Roman"/>
          <w:sz w:val="20"/>
          <w:szCs w:val="20"/>
          <w:lang w:eastAsia="fr-FR"/>
        </w:rPr>
        <w:t>(*) Texte original italien dans l’</w:t>
      </w:r>
      <w:proofErr w:type="spellStart"/>
      <w:r w:rsidRPr="0046083D">
        <w:rPr>
          <w:rFonts w:ascii="Times" w:hAnsi="Times" w:cs="Times New Roman"/>
          <w:sz w:val="20"/>
          <w:szCs w:val="20"/>
          <w:lang w:eastAsia="fr-FR"/>
        </w:rPr>
        <w:t>Osservatore</w:t>
      </w:r>
      <w:proofErr w:type="spellEnd"/>
      <w:r w:rsidRPr="0046083D">
        <w:rPr>
          <w:rFonts w:ascii="Times" w:hAnsi="Times" w:cs="Times New Roman"/>
          <w:sz w:val="20"/>
          <w:szCs w:val="20"/>
          <w:lang w:eastAsia="fr-FR"/>
        </w:rPr>
        <w:t xml:space="preserve"> Romano des 22-23 décembre 2014. Traduction de Sophie Gallé pour </w:t>
      </w:r>
      <w:r w:rsidRPr="0046083D">
        <w:rPr>
          <w:rFonts w:ascii="Times" w:hAnsi="Times" w:cs="Times New Roman"/>
          <w:i/>
          <w:iCs/>
          <w:sz w:val="20"/>
          <w:szCs w:val="20"/>
          <w:lang w:eastAsia="fr-FR"/>
        </w:rPr>
        <w:t>Urbi &amp; Orbi-La Documentation catholique</w:t>
      </w:r>
      <w:r w:rsidRPr="0046083D">
        <w:rPr>
          <w:rFonts w:ascii="Times" w:hAnsi="Times" w:cs="Times New Roman"/>
          <w:sz w:val="20"/>
          <w:szCs w:val="20"/>
          <w:lang w:eastAsia="fr-FR"/>
        </w:rPr>
        <w:t xml:space="preserve">. © Copyright - </w:t>
      </w:r>
      <w:proofErr w:type="spellStart"/>
      <w:r w:rsidRPr="0046083D">
        <w:rPr>
          <w:rFonts w:ascii="Times" w:hAnsi="Times" w:cs="Times New Roman"/>
          <w:sz w:val="20"/>
          <w:szCs w:val="20"/>
          <w:lang w:eastAsia="fr-FR"/>
        </w:rPr>
        <w:t>Libreria</w:t>
      </w:r>
      <w:proofErr w:type="spellEnd"/>
      <w:r w:rsidRPr="0046083D">
        <w:rPr>
          <w:rFonts w:ascii="Times" w:hAnsi="Times" w:cs="Times New Roman"/>
          <w:sz w:val="20"/>
          <w:szCs w:val="20"/>
          <w:lang w:eastAsia="fr-FR"/>
        </w:rPr>
        <w:t xml:space="preserve"> </w:t>
      </w:r>
      <w:proofErr w:type="spellStart"/>
      <w:r w:rsidRPr="0046083D">
        <w:rPr>
          <w:rFonts w:ascii="Times" w:hAnsi="Times" w:cs="Times New Roman"/>
          <w:sz w:val="20"/>
          <w:szCs w:val="20"/>
          <w:lang w:eastAsia="fr-FR"/>
        </w:rPr>
        <w:t>Editrice</w:t>
      </w:r>
      <w:proofErr w:type="spellEnd"/>
      <w:r w:rsidRPr="0046083D">
        <w:rPr>
          <w:rFonts w:ascii="Times" w:hAnsi="Times" w:cs="Times New Roman"/>
          <w:sz w:val="20"/>
          <w:szCs w:val="20"/>
          <w:lang w:eastAsia="fr-FR"/>
        </w:rPr>
        <w:t xml:space="preserve"> </w:t>
      </w:r>
      <w:proofErr w:type="spellStart"/>
      <w:r w:rsidRPr="0046083D">
        <w:rPr>
          <w:rFonts w:ascii="Times" w:hAnsi="Times" w:cs="Times New Roman"/>
          <w:sz w:val="20"/>
          <w:szCs w:val="20"/>
          <w:lang w:eastAsia="fr-FR"/>
        </w:rPr>
        <w:t>Vaticana</w:t>
      </w:r>
      <w:proofErr w:type="spellEnd"/>
    </w:p>
    <w:p w14:paraId="4C00B142"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xml:space="preserve">(1) « Or, pour définir, pour décrire cette véritable Église de Jésus-Christ - celle qui est sainte, catholique, apostolique, romaine -, on ne peut trouver rien de plus beau, rien de plus excellent, rien enfin de plus divin que cette expression qui la désigne comme « le Corps mystique de Jésus-Christ » ; c’est celle du reste qui découle, qui fleurit pour ainsi dire, de ce que nous exposent fréquemment les Saintes Ecritures et les écrits des saints Pères ». (Pie XII, Encyclique </w:t>
      </w:r>
      <w:proofErr w:type="spellStart"/>
      <w:r w:rsidRPr="0046083D">
        <w:rPr>
          <w:rFonts w:ascii="Times" w:hAnsi="Times" w:cs="Times New Roman"/>
          <w:i/>
          <w:iCs/>
          <w:sz w:val="20"/>
          <w:szCs w:val="20"/>
          <w:lang w:eastAsia="fr-FR"/>
        </w:rPr>
        <w:t>Mystici</w:t>
      </w:r>
      <w:proofErr w:type="spellEnd"/>
      <w:r w:rsidRPr="0046083D">
        <w:rPr>
          <w:rFonts w:ascii="Times" w:hAnsi="Times" w:cs="Times New Roman"/>
          <w:i/>
          <w:iCs/>
          <w:sz w:val="20"/>
          <w:szCs w:val="20"/>
          <w:lang w:eastAsia="fr-FR"/>
        </w:rPr>
        <w:t xml:space="preserve"> </w:t>
      </w:r>
      <w:proofErr w:type="spellStart"/>
      <w:r w:rsidRPr="0046083D">
        <w:rPr>
          <w:rFonts w:ascii="Times" w:hAnsi="Times" w:cs="Times New Roman"/>
          <w:i/>
          <w:iCs/>
          <w:sz w:val="20"/>
          <w:szCs w:val="20"/>
          <w:lang w:eastAsia="fr-FR"/>
        </w:rPr>
        <w:t>Corporis</w:t>
      </w:r>
      <w:proofErr w:type="spellEnd"/>
      <w:r w:rsidRPr="0046083D">
        <w:rPr>
          <w:rFonts w:ascii="Times" w:hAnsi="Times" w:cs="Times New Roman"/>
          <w:sz w:val="20"/>
          <w:szCs w:val="20"/>
          <w:lang w:eastAsia="fr-FR"/>
        </w:rPr>
        <w:t>, Première partie : AAS 35 [1943], 200).</w:t>
      </w:r>
    </w:p>
    <w:p w14:paraId="519D0CEA"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xml:space="preserve">(2) Cf. </w:t>
      </w:r>
      <w:proofErr w:type="spellStart"/>
      <w:r w:rsidRPr="0046083D">
        <w:rPr>
          <w:rFonts w:ascii="Times" w:hAnsi="Times" w:cs="Times New Roman"/>
          <w:sz w:val="20"/>
          <w:szCs w:val="20"/>
          <w:lang w:eastAsia="fr-FR"/>
        </w:rPr>
        <w:t>Rm</w:t>
      </w:r>
      <w:proofErr w:type="spellEnd"/>
      <w:r w:rsidRPr="0046083D">
        <w:rPr>
          <w:rFonts w:ascii="Times" w:hAnsi="Times" w:cs="Times New Roman"/>
          <w:sz w:val="20"/>
          <w:szCs w:val="20"/>
          <w:lang w:eastAsia="fr-FR"/>
        </w:rPr>
        <w:t xml:space="preserve"> 12, 5 : « De même, nous qui sommes plusieurs, nous sommes un seul corps dans le Christ, et membres les uns des autres, chacun pour sa part. »</w:t>
      </w:r>
    </w:p>
    <w:p w14:paraId="110541FB"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xml:space="preserve">(3) Constitution dogmatique </w:t>
      </w:r>
      <w:r w:rsidRPr="0046083D">
        <w:rPr>
          <w:rFonts w:ascii="Times" w:hAnsi="Times" w:cs="Times New Roman"/>
          <w:i/>
          <w:iCs/>
          <w:sz w:val="20"/>
          <w:szCs w:val="20"/>
          <w:lang w:eastAsia="fr-FR"/>
        </w:rPr>
        <w:t xml:space="preserve">Lumen </w:t>
      </w:r>
      <w:proofErr w:type="spellStart"/>
      <w:r w:rsidRPr="0046083D">
        <w:rPr>
          <w:rFonts w:ascii="Times" w:hAnsi="Times" w:cs="Times New Roman"/>
          <w:i/>
          <w:iCs/>
          <w:sz w:val="20"/>
          <w:szCs w:val="20"/>
          <w:lang w:eastAsia="fr-FR"/>
        </w:rPr>
        <w:t>gentium</w:t>
      </w:r>
      <w:proofErr w:type="spellEnd"/>
      <w:r w:rsidRPr="0046083D">
        <w:rPr>
          <w:rFonts w:ascii="Times" w:hAnsi="Times" w:cs="Times New Roman"/>
          <w:sz w:val="20"/>
          <w:szCs w:val="20"/>
          <w:lang w:eastAsia="fr-FR"/>
        </w:rPr>
        <w:t>, 7.</w:t>
      </w:r>
    </w:p>
    <w:p w14:paraId="11C0ECEA"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xml:space="preserve">(4) Il est utile de se rappeler que : « La comparaison de l’Église avec le corps jette une lumière sur le lien intime entre l’Église et le Christ. Elle n’est pas seulement rassemblée autour de lui ; elle est unifiée en lui, dans son Corps. Trois aspects de l’Église – Corps du Christ – sont plus spécifiquement à relever : l’unité de tous les membres entre eux par leur union au Christ ; le Christ Tête du Corps ; l’Église, Épouse du Christ. » Cf. </w:t>
      </w:r>
      <w:r w:rsidRPr="0046083D">
        <w:rPr>
          <w:rFonts w:ascii="Times" w:hAnsi="Times" w:cs="Times New Roman"/>
          <w:i/>
          <w:iCs/>
          <w:sz w:val="20"/>
          <w:szCs w:val="20"/>
          <w:lang w:eastAsia="fr-FR"/>
        </w:rPr>
        <w:t>Catéchisme de l’Église catholique</w:t>
      </w:r>
      <w:r w:rsidRPr="0046083D">
        <w:rPr>
          <w:rFonts w:ascii="Times" w:hAnsi="Times" w:cs="Times New Roman"/>
          <w:sz w:val="20"/>
          <w:szCs w:val="20"/>
          <w:lang w:eastAsia="fr-FR"/>
        </w:rPr>
        <w:t>, n. 789 et 795.</w:t>
      </w:r>
    </w:p>
    <w:p w14:paraId="314D7F5C"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xml:space="preserve">(5) Cf. </w:t>
      </w:r>
      <w:proofErr w:type="spellStart"/>
      <w:r w:rsidRPr="0046083D">
        <w:rPr>
          <w:rFonts w:ascii="Times" w:hAnsi="Times" w:cs="Times New Roman"/>
          <w:i/>
          <w:iCs/>
          <w:sz w:val="20"/>
          <w:szCs w:val="20"/>
          <w:lang w:eastAsia="fr-FR"/>
        </w:rPr>
        <w:t>Evangelii</w:t>
      </w:r>
      <w:proofErr w:type="spellEnd"/>
      <w:r w:rsidRPr="0046083D">
        <w:rPr>
          <w:rFonts w:ascii="Times" w:hAnsi="Times" w:cs="Times New Roman"/>
          <w:i/>
          <w:iCs/>
          <w:sz w:val="20"/>
          <w:szCs w:val="20"/>
          <w:lang w:eastAsia="fr-FR"/>
        </w:rPr>
        <w:t xml:space="preserve"> </w:t>
      </w:r>
      <w:proofErr w:type="spellStart"/>
      <w:r w:rsidRPr="0046083D">
        <w:rPr>
          <w:rFonts w:ascii="Times" w:hAnsi="Times" w:cs="Times New Roman"/>
          <w:i/>
          <w:iCs/>
          <w:sz w:val="20"/>
          <w:szCs w:val="20"/>
          <w:lang w:eastAsia="fr-FR"/>
        </w:rPr>
        <w:t>gaudium</w:t>
      </w:r>
      <w:proofErr w:type="spellEnd"/>
      <w:r w:rsidRPr="0046083D">
        <w:rPr>
          <w:rFonts w:ascii="Times" w:hAnsi="Times" w:cs="Times New Roman"/>
          <w:sz w:val="20"/>
          <w:szCs w:val="20"/>
          <w:lang w:eastAsia="fr-FR"/>
        </w:rPr>
        <w:t>, 130-131 (</w:t>
      </w:r>
      <w:r w:rsidRPr="0046083D">
        <w:rPr>
          <w:rFonts w:ascii="Times" w:hAnsi="Times" w:cs="Times New Roman"/>
          <w:i/>
          <w:iCs/>
          <w:sz w:val="20"/>
          <w:szCs w:val="20"/>
          <w:lang w:eastAsia="fr-FR"/>
        </w:rPr>
        <w:t xml:space="preserve">DC </w:t>
      </w:r>
      <w:r w:rsidRPr="0046083D">
        <w:rPr>
          <w:rFonts w:ascii="Times" w:hAnsi="Times" w:cs="Times New Roman"/>
          <w:sz w:val="20"/>
          <w:szCs w:val="20"/>
          <w:lang w:eastAsia="fr-FR"/>
        </w:rPr>
        <w:t>2014, n. 2513, p. 41-42).</w:t>
      </w:r>
    </w:p>
    <w:p w14:paraId="051BC8AA"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(6) En diverses occasions, Jésus a indiqué le lien que les fidèles devaient avoir avec lui : « De même que le sarment ne peut pas porter de fruit par lui-même s’il ne demeure pas sur la vigne, de même vous non plus, si vous ne demeurez pas en moi. Moi, je suis la vigne, et vous, les sarments » (</w:t>
      </w:r>
      <w:proofErr w:type="spellStart"/>
      <w:r w:rsidRPr="0046083D">
        <w:rPr>
          <w:rFonts w:ascii="Times" w:hAnsi="Times" w:cs="Times New Roman"/>
          <w:sz w:val="20"/>
          <w:szCs w:val="20"/>
          <w:lang w:eastAsia="fr-FR"/>
        </w:rPr>
        <w:t>Jn</w:t>
      </w:r>
      <w:proofErr w:type="spellEnd"/>
      <w:r w:rsidRPr="0046083D">
        <w:rPr>
          <w:rFonts w:ascii="Times" w:hAnsi="Times" w:cs="Times New Roman"/>
          <w:sz w:val="20"/>
          <w:szCs w:val="20"/>
          <w:lang w:eastAsia="fr-FR"/>
        </w:rPr>
        <w:t xml:space="preserve"> 15, 4-5).</w:t>
      </w:r>
    </w:p>
    <w:p w14:paraId="15EDC5E0" w14:textId="77777777" w:rsidR="0046083D" w:rsidRPr="00944BA7" w:rsidRDefault="0046083D" w:rsidP="0046083D">
      <w:pPr>
        <w:spacing w:before="100" w:beforeAutospacing="1" w:after="100" w:afterAutospacing="1"/>
        <w:rPr>
          <w:rFonts w:ascii="Times" w:hAnsi="Times" w:cs="Times New Roman"/>
          <w:sz w:val="20"/>
          <w:szCs w:val="20"/>
          <w:lang w:val="en-US" w:eastAsia="fr-FR"/>
        </w:rPr>
      </w:pPr>
      <w:r w:rsidRPr="00944BA7">
        <w:rPr>
          <w:rFonts w:ascii="Times" w:hAnsi="Times" w:cs="Times New Roman"/>
          <w:sz w:val="20"/>
          <w:szCs w:val="20"/>
          <w:lang w:val="en-US" w:eastAsia="fr-FR"/>
        </w:rPr>
        <w:t xml:space="preserve">(7) Cf. </w:t>
      </w:r>
      <w:r w:rsidRPr="00944BA7">
        <w:rPr>
          <w:rFonts w:ascii="Times" w:hAnsi="Times" w:cs="Times New Roman"/>
          <w:i/>
          <w:iCs/>
          <w:sz w:val="20"/>
          <w:szCs w:val="20"/>
          <w:lang w:val="en-US" w:eastAsia="fr-FR"/>
        </w:rPr>
        <w:t>Pastor bonus</w:t>
      </w:r>
      <w:r w:rsidRPr="00944BA7">
        <w:rPr>
          <w:rFonts w:ascii="Times" w:hAnsi="Times" w:cs="Times New Roman"/>
          <w:sz w:val="20"/>
          <w:szCs w:val="20"/>
          <w:lang w:val="en-US" w:eastAsia="fr-FR"/>
        </w:rPr>
        <w:t>, art. 1, et CIC can. 360 (</w:t>
      </w:r>
      <w:r w:rsidRPr="00944BA7">
        <w:rPr>
          <w:rFonts w:ascii="Times" w:hAnsi="Times" w:cs="Times New Roman"/>
          <w:i/>
          <w:iCs/>
          <w:sz w:val="20"/>
          <w:szCs w:val="20"/>
          <w:lang w:val="en-US" w:eastAsia="fr-FR"/>
        </w:rPr>
        <w:t xml:space="preserve">DC </w:t>
      </w:r>
      <w:r w:rsidRPr="00944BA7">
        <w:rPr>
          <w:rFonts w:ascii="Times" w:hAnsi="Times" w:cs="Times New Roman"/>
          <w:sz w:val="20"/>
          <w:szCs w:val="20"/>
          <w:lang w:val="en-US" w:eastAsia="fr-FR"/>
        </w:rPr>
        <w:t>1988, n. 1969, p. 898).</w:t>
      </w:r>
    </w:p>
    <w:p w14:paraId="5DCCEAFB"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xml:space="preserve">(8) Cf. </w:t>
      </w:r>
      <w:proofErr w:type="spellStart"/>
      <w:r w:rsidRPr="0046083D">
        <w:rPr>
          <w:rFonts w:ascii="Times" w:hAnsi="Times" w:cs="Times New Roman"/>
          <w:i/>
          <w:iCs/>
          <w:sz w:val="20"/>
          <w:szCs w:val="20"/>
          <w:lang w:eastAsia="fr-FR"/>
        </w:rPr>
        <w:t>Evangelii</w:t>
      </w:r>
      <w:proofErr w:type="spellEnd"/>
      <w:r w:rsidRPr="0046083D">
        <w:rPr>
          <w:rFonts w:ascii="Times" w:hAnsi="Times" w:cs="Times New Roman"/>
          <w:i/>
          <w:iCs/>
          <w:sz w:val="20"/>
          <w:szCs w:val="20"/>
          <w:lang w:eastAsia="fr-FR"/>
        </w:rPr>
        <w:t xml:space="preserve"> </w:t>
      </w:r>
      <w:proofErr w:type="spellStart"/>
      <w:r w:rsidRPr="0046083D">
        <w:rPr>
          <w:rFonts w:ascii="Times" w:hAnsi="Times" w:cs="Times New Roman"/>
          <w:i/>
          <w:iCs/>
          <w:sz w:val="20"/>
          <w:szCs w:val="20"/>
          <w:lang w:eastAsia="fr-FR"/>
        </w:rPr>
        <w:t>gaudium</w:t>
      </w:r>
      <w:proofErr w:type="spellEnd"/>
      <w:r w:rsidRPr="0046083D">
        <w:rPr>
          <w:rFonts w:ascii="Times" w:hAnsi="Times" w:cs="Times New Roman"/>
          <w:sz w:val="20"/>
          <w:szCs w:val="20"/>
          <w:lang w:eastAsia="fr-FR"/>
        </w:rPr>
        <w:t>, 197-201 (</w:t>
      </w:r>
      <w:r w:rsidRPr="0046083D">
        <w:rPr>
          <w:rFonts w:ascii="Times" w:hAnsi="Times" w:cs="Times New Roman"/>
          <w:i/>
          <w:iCs/>
          <w:sz w:val="20"/>
          <w:szCs w:val="20"/>
          <w:lang w:eastAsia="fr-FR"/>
        </w:rPr>
        <w:t xml:space="preserve">DC </w:t>
      </w:r>
      <w:r w:rsidRPr="0046083D">
        <w:rPr>
          <w:rFonts w:ascii="Times" w:hAnsi="Times" w:cs="Times New Roman"/>
          <w:sz w:val="20"/>
          <w:szCs w:val="20"/>
          <w:lang w:eastAsia="fr-FR"/>
        </w:rPr>
        <w:t>2014, n. 2513, p. 59-60).</w:t>
      </w:r>
    </w:p>
    <w:p w14:paraId="195F7966"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xml:space="preserve">(9) Benoît XVI, </w:t>
      </w:r>
      <w:r w:rsidRPr="0046083D">
        <w:rPr>
          <w:rFonts w:ascii="Times" w:hAnsi="Times" w:cs="Times New Roman"/>
          <w:i/>
          <w:iCs/>
          <w:sz w:val="20"/>
          <w:szCs w:val="20"/>
          <w:lang w:eastAsia="fr-FR"/>
        </w:rPr>
        <w:t>Audience générale</w:t>
      </w:r>
      <w:r w:rsidRPr="0046083D">
        <w:rPr>
          <w:rFonts w:ascii="Times" w:hAnsi="Times" w:cs="Times New Roman"/>
          <w:sz w:val="20"/>
          <w:szCs w:val="20"/>
          <w:lang w:eastAsia="fr-FR"/>
        </w:rPr>
        <w:t> du 1er juin 2005 (</w:t>
      </w:r>
      <w:r w:rsidRPr="0046083D">
        <w:rPr>
          <w:rFonts w:ascii="Times" w:hAnsi="Times" w:cs="Times New Roman"/>
          <w:i/>
          <w:iCs/>
          <w:sz w:val="20"/>
          <w:szCs w:val="20"/>
          <w:lang w:eastAsia="fr-FR"/>
        </w:rPr>
        <w:t xml:space="preserve">DC </w:t>
      </w:r>
      <w:r w:rsidRPr="0046083D">
        <w:rPr>
          <w:rFonts w:ascii="Times" w:hAnsi="Times" w:cs="Times New Roman"/>
          <w:sz w:val="20"/>
          <w:szCs w:val="20"/>
          <w:lang w:eastAsia="fr-FR"/>
        </w:rPr>
        <w:t>2005, n. 2339, p. 648-649).</w:t>
      </w:r>
    </w:p>
    <w:p w14:paraId="7EC10C34"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xml:space="preserve">(10) François, </w:t>
      </w:r>
      <w:r w:rsidRPr="0046083D">
        <w:rPr>
          <w:rFonts w:ascii="Times" w:hAnsi="Times" w:cs="Times New Roman"/>
          <w:i/>
          <w:iCs/>
          <w:sz w:val="20"/>
          <w:szCs w:val="20"/>
          <w:lang w:eastAsia="fr-FR"/>
        </w:rPr>
        <w:t>Homélie à la cathédrale du Saint-Esprit,</w:t>
      </w:r>
      <w:r w:rsidRPr="0046083D">
        <w:rPr>
          <w:rFonts w:ascii="Times" w:hAnsi="Times" w:cs="Times New Roman"/>
          <w:sz w:val="20"/>
          <w:szCs w:val="20"/>
          <w:lang w:eastAsia="fr-FR"/>
        </w:rPr>
        <w:t> à Istanbul (Turquie), 29 novembre 2014.</w:t>
      </w:r>
    </w:p>
    <w:p w14:paraId="4EFE120A"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xml:space="preserve">(11) </w:t>
      </w:r>
      <w:proofErr w:type="spellStart"/>
      <w:r w:rsidRPr="0046083D">
        <w:rPr>
          <w:rFonts w:ascii="Times" w:hAnsi="Times" w:cs="Times New Roman"/>
          <w:i/>
          <w:iCs/>
          <w:sz w:val="20"/>
          <w:szCs w:val="20"/>
          <w:lang w:eastAsia="fr-FR"/>
        </w:rPr>
        <w:t>Evangelii</w:t>
      </w:r>
      <w:proofErr w:type="spellEnd"/>
      <w:r w:rsidRPr="0046083D">
        <w:rPr>
          <w:rFonts w:ascii="Times" w:hAnsi="Times" w:cs="Times New Roman"/>
          <w:i/>
          <w:iCs/>
          <w:sz w:val="20"/>
          <w:szCs w:val="20"/>
          <w:lang w:eastAsia="fr-FR"/>
        </w:rPr>
        <w:t xml:space="preserve"> </w:t>
      </w:r>
      <w:proofErr w:type="spellStart"/>
      <w:r w:rsidRPr="0046083D">
        <w:rPr>
          <w:rFonts w:ascii="Times" w:hAnsi="Times" w:cs="Times New Roman"/>
          <w:i/>
          <w:iCs/>
          <w:sz w:val="20"/>
          <w:szCs w:val="20"/>
          <w:lang w:eastAsia="fr-FR"/>
        </w:rPr>
        <w:t>gaudium</w:t>
      </w:r>
      <w:proofErr w:type="spellEnd"/>
      <w:r w:rsidRPr="0046083D">
        <w:rPr>
          <w:rFonts w:ascii="Times" w:hAnsi="Times" w:cs="Times New Roman"/>
          <w:sz w:val="20"/>
          <w:szCs w:val="20"/>
          <w:lang w:eastAsia="fr-FR"/>
        </w:rPr>
        <w:t>, 95-96 (</w:t>
      </w:r>
      <w:r w:rsidRPr="0046083D">
        <w:rPr>
          <w:rFonts w:ascii="Times" w:hAnsi="Times" w:cs="Times New Roman"/>
          <w:i/>
          <w:iCs/>
          <w:sz w:val="20"/>
          <w:szCs w:val="20"/>
          <w:lang w:eastAsia="fr-FR"/>
        </w:rPr>
        <w:t xml:space="preserve">DC </w:t>
      </w:r>
      <w:r w:rsidRPr="0046083D">
        <w:rPr>
          <w:rFonts w:ascii="Times" w:hAnsi="Times" w:cs="Times New Roman"/>
          <w:sz w:val="20"/>
          <w:szCs w:val="20"/>
          <w:lang w:eastAsia="fr-FR"/>
        </w:rPr>
        <w:t>2014, n. 2513, p. 32).</w:t>
      </w:r>
    </w:p>
    <w:p w14:paraId="0406D9E3"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xml:space="preserve">(12) </w:t>
      </w:r>
      <w:proofErr w:type="spellStart"/>
      <w:r w:rsidRPr="0046083D">
        <w:rPr>
          <w:rFonts w:ascii="Times" w:hAnsi="Times" w:cs="Times New Roman"/>
          <w:i/>
          <w:iCs/>
          <w:sz w:val="20"/>
          <w:szCs w:val="20"/>
          <w:lang w:eastAsia="fr-FR"/>
        </w:rPr>
        <w:t>Ibid</w:t>
      </w:r>
      <w:proofErr w:type="spellEnd"/>
      <w:r w:rsidRPr="0046083D">
        <w:rPr>
          <w:rFonts w:ascii="Times" w:hAnsi="Times" w:cs="Times New Roman"/>
          <w:sz w:val="20"/>
          <w:szCs w:val="20"/>
          <w:lang w:eastAsia="fr-FR"/>
        </w:rPr>
        <w:t>, 84-86 (</w:t>
      </w:r>
      <w:r w:rsidRPr="0046083D">
        <w:rPr>
          <w:rFonts w:ascii="Times" w:hAnsi="Times" w:cs="Times New Roman"/>
          <w:i/>
          <w:iCs/>
          <w:sz w:val="20"/>
          <w:szCs w:val="20"/>
          <w:lang w:eastAsia="fr-FR"/>
        </w:rPr>
        <w:t xml:space="preserve">DC </w:t>
      </w:r>
      <w:r w:rsidRPr="0046083D">
        <w:rPr>
          <w:rFonts w:ascii="Times" w:hAnsi="Times" w:cs="Times New Roman"/>
          <w:sz w:val="20"/>
          <w:szCs w:val="20"/>
          <w:lang w:eastAsia="fr-FR"/>
        </w:rPr>
        <w:t>2014, n. 2513, p. 29-30).</w:t>
      </w:r>
    </w:p>
    <w:p w14:paraId="15E17B2F"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xml:space="preserve">(13) </w:t>
      </w:r>
      <w:proofErr w:type="spellStart"/>
      <w:r w:rsidRPr="0046083D">
        <w:rPr>
          <w:rFonts w:ascii="Times" w:hAnsi="Times" w:cs="Times New Roman"/>
          <w:i/>
          <w:iCs/>
          <w:sz w:val="20"/>
          <w:szCs w:val="20"/>
          <w:lang w:eastAsia="fr-FR"/>
        </w:rPr>
        <w:t>Ibid</w:t>
      </w:r>
      <w:proofErr w:type="spellEnd"/>
      <w:r w:rsidRPr="0046083D">
        <w:rPr>
          <w:rFonts w:ascii="Times" w:hAnsi="Times" w:cs="Times New Roman"/>
          <w:sz w:val="20"/>
          <w:szCs w:val="20"/>
          <w:lang w:eastAsia="fr-FR"/>
        </w:rPr>
        <w:t>, 2 (</w:t>
      </w:r>
      <w:r w:rsidRPr="0046083D">
        <w:rPr>
          <w:rFonts w:ascii="Times" w:hAnsi="Times" w:cs="Times New Roman"/>
          <w:i/>
          <w:iCs/>
          <w:sz w:val="20"/>
          <w:szCs w:val="20"/>
          <w:lang w:eastAsia="fr-FR"/>
        </w:rPr>
        <w:t xml:space="preserve">DC </w:t>
      </w:r>
      <w:r w:rsidRPr="0046083D">
        <w:rPr>
          <w:rFonts w:ascii="Times" w:hAnsi="Times" w:cs="Times New Roman"/>
          <w:sz w:val="20"/>
          <w:szCs w:val="20"/>
          <w:lang w:eastAsia="fr-FR"/>
        </w:rPr>
        <w:t>2014, n. 2513, p. 7).</w:t>
      </w:r>
    </w:p>
    <w:p w14:paraId="063F89E0"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(14) « Donne-moi une bonne digestion, Seigneur, et aussi quelque chose à digérer. Donne-moi la santé du corps avec le sens de la garder au mieux, Donne-moi une âme sainte, Seigneur, qui ait les yeux sur la beauté et la pureté, afin qu’elle ne s’épouvante pas en voyant le péché, mais sache redresser la situation. Donne-moi une âme qui ignore l’ennui, le gémissement et le soupir. Ne permets pas que je me fasse trop de souci pour cette chose encombrante que j’appelle « moi ». Seigneur, donne-moi l’humour pour que je tire quelque bonheur de cette vie et en fasse profiter les autres. » (Source : site de l’Église catholique en France)</w:t>
      </w:r>
    </w:p>
    <w:p w14:paraId="4E991B02"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xml:space="preserve">(15) </w:t>
      </w:r>
      <w:proofErr w:type="spellStart"/>
      <w:r w:rsidRPr="0046083D">
        <w:rPr>
          <w:rFonts w:ascii="Times" w:hAnsi="Times" w:cs="Times New Roman"/>
          <w:i/>
          <w:iCs/>
          <w:sz w:val="20"/>
          <w:szCs w:val="20"/>
          <w:lang w:eastAsia="fr-FR"/>
        </w:rPr>
        <w:t>Evangelii</w:t>
      </w:r>
      <w:proofErr w:type="spellEnd"/>
      <w:r w:rsidRPr="0046083D">
        <w:rPr>
          <w:rFonts w:ascii="Times" w:hAnsi="Times" w:cs="Times New Roman"/>
          <w:i/>
          <w:iCs/>
          <w:sz w:val="20"/>
          <w:szCs w:val="20"/>
          <w:lang w:eastAsia="fr-FR"/>
        </w:rPr>
        <w:t xml:space="preserve"> </w:t>
      </w:r>
      <w:proofErr w:type="spellStart"/>
      <w:r w:rsidRPr="0046083D">
        <w:rPr>
          <w:rFonts w:ascii="Times" w:hAnsi="Times" w:cs="Times New Roman"/>
          <w:i/>
          <w:iCs/>
          <w:sz w:val="20"/>
          <w:szCs w:val="20"/>
          <w:lang w:eastAsia="fr-FR"/>
        </w:rPr>
        <w:t>gaudium</w:t>
      </w:r>
      <w:proofErr w:type="spellEnd"/>
      <w:r w:rsidRPr="0046083D">
        <w:rPr>
          <w:rFonts w:ascii="Times" w:hAnsi="Times" w:cs="Times New Roman"/>
          <w:sz w:val="20"/>
          <w:szCs w:val="20"/>
          <w:lang w:eastAsia="fr-FR"/>
        </w:rPr>
        <w:t>, 88 (</w:t>
      </w:r>
      <w:r w:rsidRPr="0046083D">
        <w:rPr>
          <w:rFonts w:ascii="Times" w:hAnsi="Times" w:cs="Times New Roman"/>
          <w:i/>
          <w:iCs/>
          <w:sz w:val="20"/>
          <w:szCs w:val="20"/>
          <w:lang w:eastAsia="fr-FR"/>
        </w:rPr>
        <w:t xml:space="preserve">DC </w:t>
      </w:r>
      <w:r w:rsidRPr="0046083D">
        <w:rPr>
          <w:rFonts w:ascii="Times" w:hAnsi="Times" w:cs="Times New Roman"/>
          <w:sz w:val="20"/>
          <w:szCs w:val="20"/>
          <w:lang w:eastAsia="fr-FR"/>
        </w:rPr>
        <w:t>2014, n. 2513, p. 30).</w:t>
      </w:r>
    </w:p>
    <w:p w14:paraId="62AE0440"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xml:space="preserve">(16) Le bienheureux Paul VI affirmait, à propos de la situation de l’Église, qu’il avait la sensation que, « par quelques fissures, la fumée du diable est entrée dans le temple de Dieu », </w:t>
      </w:r>
      <w:r w:rsidRPr="0046083D">
        <w:rPr>
          <w:rFonts w:ascii="Times" w:hAnsi="Times" w:cs="Times New Roman"/>
          <w:i/>
          <w:iCs/>
          <w:sz w:val="20"/>
          <w:szCs w:val="20"/>
          <w:lang w:eastAsia="fr-FR"/>
        </w:rPr>
        <w:t>Homélie, solennité des apôtres Pierre et Paul</w:t>
      </w:r>
      <w:r w:rsidRPr="0046083D">
        <w:rPr>
          <w:rFonts w:ascii="Times" w:hAnsi="Times" w:cs="Times New Roman"/>
          <w:sz w:val="20"/>
          <w:szCs w:val="20"/>
          <w:lang w:eastAsia="fr-FR"/>
        </w:rPr>
        <w:t>, jeudi 29 juin 1972</w:t>
      </w:r>
      <w:r w:rsidRPr="0046083D">
        <w:rPr>
          <w:rFonts w:ascii="Monaco" w:hAnsi="Monaco" w:cs="Monaco"/>
          <w:sz w:val="20"/>
          <w:szCs w:val="20"/>
          <w:lang w:eastAsia="fr-FR"/>
        </w:rPr>
        <w:t> </w:t>
      </w:r>
      <w:r w:rsidRPr="0046083D">
        <w:rPr>
          <w:rFonts w:ascii="Times" w:hAnsi="Times" w:cs="Times New Roman"/>
          <w:sz w:val="20"/>
          <w:szCs w:val="20"/>
          <w:lang w:eastAsia="fr-FR"/>
        </w:rPr>
        <w:t xml:space="preserve">; Cf. </w:t>
      </w:r>
      <w:proofErr w:type="spellStart"/>
      <w:r w:rsidRPr="0046083D">
        <w:rPr>
          <w:rFonts w:ascii="Times" w:hAnsi="Times" w:cs="Times New Roman"/>
          <w:i/>
          <w:iCs/>
          <w:sz w:val="20"/>
          <w:szCs w:val="20"/>
          <w:lang w:eastAsia="fr-FR"/>
        </w:rPr>
        <w:t>Evangelii</w:t>
      </w:r>
      <w:proofErr w:type="spellEnd"/>
      <w:r w:rsidRPr="0046083D">
        <w:rPr>
          <w:rFonts w:ascii="Times" w:hAnsi="Times" w:cs="Times New Roman"/>
          <w:i/>
          <w:iCs/>
          <w:sz w:val="20"/>
          <w:szCs w:val="20"/>
          <w:lang w:eastAsia="fr-FR"/>
        </w:rPr>
        <w:t xml:space="preserve"> </w:t>
      </w:r>
      <w:proofErr w:type="spellStart"/>
      <w:r w:rsidRPr="0046083D">
        <w:rPr>
          <w:rFonts w:ascii="Times" w:hAnsi="Times" w:cs="Times New Roman"/>
          <w:i/>
          <w:iCs/>
          <w:sz w:val="20"/>
          <w:szCs w:val="20"/>
          <w:lang w:eastAsia="fr-FR"/>
        </w:rPr>
        <w:t>gaudium</w:t>
      </w:r>
      <w:proofErr w:type="spellEnd"/>
      <w:r w:rsidRPr="0046083D">
        <w:rPr>
          <w:rFonts w:ascii="Times" w:hAnsi="Times" w:cs="Times New Roman"/>
          <w:sz w:val="20"/>
          <w:szCs w:val="20"/>
          <w:lang w:eastAsia="fr-FR"/>
        </w:rPr>
        <w:t>, 98-101 (</w:t>
      </w:r>
      <w:r w:rsidRPr="0046083D">
        <w:rPr>
          <w:rFonts w:ascii="Times" w:hAnsi="Times" w:cs="Times New Roman"/>
          <w:i/>
          <w:iCs/>
          <w:sz w:val="20"/>
          <w:szCs w:val="20"/>
          <w:lang w:eastAsia="fr-FR"/>
        </w:rPr>
        <w:t xml:space="preserve">DC </w:t>
      </w:r>
      <w:r w:rsidRPr="0046083D">
        <w:rPr>
          <w:rFonts w:ascii="Times" w:hAnsi="Times" w:cs="Times New Roman"/>
          <w:sz w:val="20"/>
          <w:szCs w:val="20"/>
          <w:lang w:eastAsia="fr-FR"/>
        </w:rPr>
        <w:t>2014, n. 2513, p. 33).</w:t>
      </w:r>
    </w:p>
    <w:p w14:paraId="48E5F400"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lastRenderedPageBreak/>
        <w:t xml:space="preserve">(17) Cf. </w:t>
      </w:r>
      <w:proofErr w:type="spellStart"/>
      <w:r w:rsidRPr="0046083D">
        <w:rPr>
          <w:rFonts w:ascii="Times" w:hAnsi="Times" w:cs="Times New Roman"/>
          <w:i/>
          <w:iCs/>
          <w:sz w:val="20"/>
          <w:szCs w:val="20"/>
          <w:lang w:eastAsia="fr-FR"/>
        </w:rPr>
        <w:t>Evangelii</w:t>
      </w:r>
      <w:proofErr w:type="spellEnd"/>
      <w:r w:rsidRPr="0046083D">
        <w:rPr>
          <w:rFonts w:ascii="Times" w:hAnsi="Times" w:cs="Times New Roman"/>
          <w:i/>
          <w:iCs/>
          <w:sz w:val="20"/>
          <w:szCs w:val="20"/>
          <w:lang w:eastAsia="fr-FR"/>
        </w:rPr>
        <w:t xml:space="preserve"> </w:t>
      </w:r>
      <w:proofErr w:type="spellStart"/>
      <w:r w:rsidRPr="0046083D">
        <w:rPr>
          <w:rFonts w:ascii="Times" w:hAnsi="Times" w:cs="Times New Roman"/>
          <w:i/>
          <w:iCs/>
          <w:sz w:val="20"/>
          <w:szCs w:val="20"/>
          <w:lang w:eastAsia="fr-FR"/>
        </w:rPr>
        <w:t>gaudium</w:t>
      </w:r>
      <w:proofErr w:type="spellEnd"/>
      <w:r w:rsidRPr="0046083D">
        <w:rPr>
          <w:rFonts w:ascii="Times" w:hAnsi="Times" w:cs="Times New Roman"/>
          <w:sz w:val="20"/>
          <w:szCs w:val="20"/>
          <w:lang w:eastAsia="fr-FR"/>
        </w:rPr>
        <w:t> : « Non à la mondanité spirituelle », 93-97 (</w:t>
      </w:r>
      <w:r w:rsidRPr="0046083D">
        <w:rPr>
          <w:rFonts w:ascii="Times" w:hAnsi="Times" w:cs="Times New Roman"/>
          <w:i/>
          <w:iCs/>
          <w:sz w:val="20"/>
          <w:szCs w:val="20"/>
          <w:lang w:eastAsia="fr-FR"/>
        </w:rPr>
        <w:t xml:space="preserve">DC </w:t>
      </w:r>
      <w:r w:rsidRPr="0046083D">
        <w:rPr>
          <w:rFonts w:ascii="Times" w:hAnsi="Times" w:cs="Times New Roman"/>
          <w:sz w:val="20"/>
          <w:szCs w:val="20"/>
          <w:lang w:eastAsia="fr-FR"/>
        </w:rPr>
        <w:t>2014, n. 2513, p. 31-33)</w:t>
      </w:r>
    </w:p>
    <w:p w14:paraId="38CE7B4B"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xml:space="preserve">(18) « L’Esprit Saint est l’âme de l’Église. Il donne la vie, il suscite les différents charismes qui enrichissent le peuple de Dieu et surtout, il crée l’unité entre les croyants : de beaucoup il fait un seul corps, le Corps du Christ. […]L’Esprit Saint fait l’unité de l’Église : unité dans la foi, unité dans la charité, unité dans la cohésion intérieure. » </w:t>
      </w:r>
      <w:r w:rsidRPr="0046083D">
        <w:rPr>
          <w:rFonts w:ascii="Times" w:hAnsi="Times" w:cs="Times New Roman"/>
          <w:i/>
          <w:iCs/>
          <w:sz w:val="20"/>
          <w:szCs w:val="20"/>
          <w:lang w:eastAsia="fr-FR"/>
        </w:rPr>
        <w:t>François, homélie à la cathédrale du Saint-Esprit</w:t>
      </w:r>
      <w:r w:rsidRPr="0046083D">
        <w:rPr>
          <w:rFonts w:ascii="Times" w:hAnsi="Times" w:cs="Times New Roman"/>
          <w:sz w:val="20"/>
          <w:szCs w:val="20"/>
          <w:lang w:eastAsia="fr-FR"/>
        </w:rPr>
        <w:t>, à Istanbul (Turquie), 29 novembre 2014.</w:t>
      </w:r>
    </w:p>
    <w:p w14:paraId="645CB72C"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xml:space="preserve">(19) </w:t>
      </w:r>
      <w:r w:rsidRPr="0046083D">
        <w:rPr>
          <w:rFonts w:ascii="Times" w:hAnsi="Times" w:cs="Times New Roman"/>
          <w:i/>
          <w:iCs/>
          <w:sz w:val="20"/>
          <w:szCs w:val="20"/>
          <w:lang w:eastAsia="fr-FR"/>
        </w:rPr>
        <w:t>August</w:t>
      </w:r>
      <w:r w:rsidRPr="0046083D">
        <w:rPr>
          <w:rFonts w:ascii="Times" w:hAnsi="Times" w:cs="Times New Roman"/>
          <w:sz w:val="20"/>
          <w:szCs w:val="20"/>
          <w:lang w:eastAsia="fr-FR"/>
        </w:rPr>
        <w:t xml:space="preserve">. </w:t>
      </w:r>
      <w:proofErr w:type="spellStart"/>
      <w:r w:rsidRPr="0046083D">
        <w:rPr>
          <w:rFonts w:ascii="Times" w:hAnsi="Times" w:cs="Times New Roman"/>
          <w:i/>
          <w:iCs/>
          <w:sz w:val="20"/>
          <w:szCs w:val="20"/>
          <w:lang w:eastAsia="fr-FR"/>
        </w:rPr>
        <w:t>Serm</w:t>
      </w:r>
      <w:proofErr w:type="spellEnd"/>
      <w:r w:rsidRPr="0046083D">
        <w:rPr>
          <w:rFonts w:ascii="Times" w:hAnsi="Times" w:cs="Times New Roman"/>
          <w:sz w:val="20"/>
          <w:szCs w:val="20"/>
          <w:lang w:eastAsia="fr-FR"/>
        </w:rPr>
        <w:t xml:space="preserve">., CXXXVII, 1 ; </w:t>
      </w:r>
      <w:r w:rsidRPr="0046083D">
        <w:rPr>
          <w:rFonts w:ascii="Times" w:hAnsi="Times" w:cs="Times New Roman"/>
          <w:i/>
          <w:iCs/>
          <w:sz w:val="20"/>
          <w:szCs w:val="20"/>
          <w:lang w:eastAsia="fr-FR"/>
        </w:rPr>
        <w:t>Migne</w:t>
      </w:r>
      <w:r w:rsidRPr="0046083D">
        <w:rPr>
          <w:rFonts w:ascii="Times" w:hAnsi="Times" w:cs="Times New Roman"/>
          <w:sz w:val="20"/>
          <w:szCs w:val="20"/>
          <w:lang w:eastAsia="fr-FR"/>
        </w:rPr>
        <w:t>, P. L., XXXVIII, 754.</w:t>
      </w:r>
    </w:p>
    <w:p w14:paraId="53EC0566" w14:textId="77777777" w:rsidR="0046083D" w:rsidRPr="0046083D" w:rsidRDefault="0046083D" w:rsidP="0046083D">
      <w:pPr>
        <w:spacing w:before="100" w:beforeAutospacing="1" w:after="100" w:afterAutospacing="1"/>
        <w:rPr>
          <w:rFonts w:ascii="Times" w:hAnsi="Times" w:cs="Times New Roman"/>
          <w:sz w:val="20"/>
          <w:szCs w:val="20"/>
          <w:lang w:eastAsia="fr-FR"/>
        </w:rPr>
      </w:pPr>
      <w:r w:rsidRPr="0046083D">
        <w:rPr>
          <w:rFonts w:ascii="Times" w:hAnsi="Times" w:cs="Times New Roman"/>
          <w:sz w:val="20"/>
          <w:szCs w:val="20"/>
          <w:lang w:eastAsia="fr-FR"/>
        </w:rPr>
        <w:t xml:space="preserve">(20) Cf. </w:t>
      </w:r>
      <w:proofErr w:type="spellStart"/>
      <w:r w:rsidRPr="0046083D">
        <w:rPr>
          <w:rFonts w:ascii="Times" w:hAnsi="Times" w:cs="Times New Roman"/>
          <w:i/>
          <w:iCs/>
          <w:sz w:val="20"/>
          <w:szCs w:val="20"/>
          <w:lang w:eastAsia="fr-FR"/>
        </w:rPr>
        <w:t>Evangelii</w:t>
      </w:r>
      <w:proofErr w:type="spellEnd"/>
      <w:r w:rsidRPr="0046083D">
        <w:rPr>
          <w:rFonts w:ascii="Times" w:hAnsi="Times" w:cs="Times New Roman"/>
          <w:i/>
          <w:iCs/>
          <w:sz w:val="20"/>
          <w:szCs w:val="20"/>
          <w:lang w:eastAsia="fr-FR"/>
        </w:rPr>
        <w:t xml:space="preserve"> </w:t>
      </w:r>
      <w:proofErr w:type="spellStart"/>
      <w:r w:rsidRPr="0046083D">
        <w:rPr>
          <w:rFonts w:ascii="Times" w:hAnsi="Times" w:cs="Times New Roman"/>
          <w:i/>
          <w:iCs/>
          <w:sz w:val="20"/>
          <w:szCs w:val="20"/>
          <w:lang w:eastAsia="fr-FR"/>
        </w:rPr>
        <w:t>gaudium</w:t>
      </w:r>
      <w:proofErr w:type="spellEnd"/>
      <w:r w:rsidRPr="0046083D">
        <w:rPr>
          <w:rFonts w:ascii="Times" w:hAnsi="Times" w:cs="Times New Roman"/>
          <w:sz w:val="20"/>
          <w:szCs w:val="20"/>
          <w:lang w:eastAsia="fr-FR"/>
        </w:rPr>
        <w:t>, « Pastorale en conversion », 25-33 (</w:t>
      </w:r>
      <w:r w:rsidRPr="0046083D">
        <w:rPr>
          <w:rFonts w:ascii="Times" w:hAnsi="Times" w:cs="Times New Roman"/>
          <w:i/>
          <w:iCs/>
          <w:sz w:val="20"/>
          <w:szCs w:val="20"/>
          <w:lang w:eastAsia="fr-FR"/>
        </w:rPr>
        <w:t xml:space="preserve">DC </w:t>
      </w:r>
      <w:r w:rsidRPr="0046083D">
        <w:rPr>
          <w:rFonts w:ascii="Times" w:hAnsi="Times" w:cs="Times New Roman"/>
          <w:sz w:val="20"/>
          <w:szCs w:val="20"/>
          <w:lang w:eastAsia="fr-FR"/>
        </w:rPr>
        <w:t>2014, n. 2513, p. 13-16).</w:t>
      </w:r>
    </w:p>
    <w:p w14:paraId="209801E8" w14:textId="77777777" w:rsidR="00EB3724" w:rsidRDefault="00EB3724"/>
    <w:sectPr w:rsidR="00EB3724" w:rsidSect="00EB3724">
      <w:pgSz w:w="11900" w:h="16840"/>
      <w:pgMar w:top="1417" w:right="1417" w:bottom="1417"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4E"/>
    <w:family w:val="auto"/>
    <w:pitch w:val="variable"/>
    <w:sig w:usb0="00000001" w:usb1="08070000" w:usb2="00000010" w:usb3="00000000" w:csb0="00020000" w:csb1="00000000"/>
  </w:font>
  <w:font w:name="Times">
    <w:panose1 w:val="00000500000000020000"/>
    <w:charset w:val="00"/>
    <w:family w:val="auto"/>
    <w:pitch w:val="variable"/>
    <w:sig w:usb0="E00002FF" w:usb1="5000205A" w:usb2="00000000" w:usb3="00000000" w:csb0="0000019F" w:csb1="00000000"/>
  </w:font>
  <w:font w:name="Lucida Grande">
    <w:panose1 w:val="020B0600040502020204"/>
    <w:charset w:val="00"/>
    <w:family w:val="auto"/>
    <w:pitch w:val="variable"/>
    <w:sig w:usb0="00000003" w:usb1="00000000" w:usb2="00000000" w:usb3="00000000" w:csb0="00000001" w:csb1="00000000"/>
  </w:font>
  <w:font w:name="Monaco">
    <w:panose1 w:val="00000000000000000000"/>
    <w:charset w:val="00"/>
    <w:family w:val="auto"/>
    <w:pitch w:val="variable"/>
    <w:sig w:usb0="A00002FF" w:usb1="500039FB" w:usb2="00000000" w:usb3="00000000" w:csb0="0000019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CE28F8"/>
    <w:multiLevelType w:val="multilevel"/>
    <w:tmpl w:val="F4CCC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embedSystemFonts/>
  <w:proofState w:spelling="clean" w:grammar="clean"/>
  <w:defaultTabStop w:val="708"/>
  <w:hyphenationZone w:val="425"/>
  <w:displayHorizontalDrawingGridEvery w:val="0"/>
  <w:displayVerticalDrawingGridEvery w:val="0"/>
  <w:doNotUseMarginsForDrawingGridOrigin/>
  <w:noPunctuationKerning/>
  <w:characterSpacingControl w:val="doNotCompress"/>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6083D"/>
    <w:rsid w:val="0046083D"/>
    <w:rsid w:val="00480872"/>
    <w:rsid w:val="00944BA7"/>
    <w:rsid w:val="00EB3724"/>
  </w:rsids>
  <m:mathPr>
    <m:mathFont m:val="Cambria Math"/>
    <m:brkBin m:val="before"/>
    <m:brkBinSub m:val="--"/>
    <m:smallFrac m:val="0"/>
    <m:dispDef m:val="0"/>
    <m:lMargin m:val="0"/>
    <m:rMargin m:val="0"/>
    <m:defJc m:val="centerGroup"/>
    <m:wrapRight/>
    <m:intLim m:val="subSup"/>
    <m:naryLim m:val="subSup"/>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1E20F8AA"/>
  <w15:docId w15:val="{C0018934-9E64-AB45-9998-DEC63CAC0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fr-FR"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paragraph" w:styleId="Titre1">
    <w:name w:val="heading 1"/>
    <w:basedOn w:val="Normal"/>
    <w:next w:val="Normal"/>
    <w:link w:val="Titre1Car"/>
    <w:uiPriority w:val="9"/>
    <w:qFormat/>
    <w:rsid w:val="00480872"/>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Titre2">
    <w:name w:val="heading 2"/>
    <w:basedOn w:val="Normal"/>
    <w:next w:val="Normal"/>
    <w:link w:val="Titre2Car"/>
    <w:uiPriority w:val="9"/>
    <w:semiHidden/>
    <w:unhideWhenUsed/>
    <w:qFormat/>
    <w:rsid w:val="0048087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link w:val="Titre3Car"/>
    <w:uiPriority w:val="9"/>
    <w:qFormat/>
    <w:rsid w:val="0046083D"/>
    <w:pPr>
      <w:spacing w:before="100" w:beforeAutospacing="1" w:after="100" w:afterAutospacing="1"/>
      <w:outlineLvl w:val="2"/>
    </w:pPr>
    <w:rPr>
      <w:rFonts w:ascii="Times" w:hAnsi="Times"/>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46083D"/>
    <w:rPr>
      <w:rFonts w:ascii="Times" w:hAnsi="Times"/>
      <w:b/>
      <w:bCs/>
      <w:sz w:val="27"/>
      <w:szCs w:val="27"/>
      <w:lang w:eastAsia="fr-FR"/>
    </w:rPr>
  </w:style>
  <w:style w:type="paragraph" w:styleId="NormalWeb">
    <w:name w:val="Normal (Web)"/>
    <w:basedOn w:val="Normal"/>
    <w:uiPriority w:val="99"/>
    <w:unhideWhenUsed/>
    <w:rsid w:val="0046083D"/>
    <w:pPr>
      <w:spacing w:before="100" w:beforeAutospacing="1" w:after="100" w:afterAutospacing="1"/>
    </w:pPr>
    <w:rPr>
      <w:rFonts w:ascii="Times" w:hAnsi="Times" w:cs="Times New Roman"/>
      <w:sz w:val="20"/>
      <w:szCs w:val="20"/>
      <w:lang w:eastAsia="fr-FR"/>
    </w:rPr>
  </w:style>
  <w:style w:type="character" w:styleId="Lienhypertexte">
    <w:name w:val="Hyperlink"/>
    <w:basedOn w:val="Policepardfaut"/>
    <w:uiPriority w:val="99"/>
    <w:semiHidden/>
    <w:unhideWhenUsed/>
    <w:rsid w:val="0046083D"/>
    <w:rPr>
      <w:color w:val="0000FF"/>
      <w:u w:val="single"/>
    </w:rPr>
  </w:style>
  <w:style w:type="character" w:customStyle="1" w:styleId="Titre1Car">
    <w:name w:val="Titre 1 Car"/>
    <w:basedOn w:val="Policepardfaut"/>
    <w:link w:val="Titre1"/>
    <w:uiPriority w:val="9"/>
    <w:rsid w:val="00480872"/>
    <w:rPr>
      <w:rFonts w:asciiTheme="majorHAnsi" w:eastAsiaTheme="majorEastAsia" w:hAnsiTheme="majorHAnsi" w:cstheme="majorBidi"/>
      <w:b/>
      <w:bCs/>
      <w:color w:val="345A8A" w:themeColor="accent1" w:themeShade="B5"/>
      <w:sz w:val="32"/>
      <w:szCs w:val="32"/>
    </w:rPr>
  </w:style>
  <w:style w:type="character" w:customStyle="1" w:styleId="Titre2Car">
    <w:name w:val="Titre 2 Car"/>
    <w:basedOn w:val="Policepardfaut"/>
    <w:link w:val="Titre2"/>
    <w:uiPriority w:val="9"/>
    <w:semiHidden/>
    <w:rsid w:val="00480872"/>
    <w:rPr>
      <w:rFonts w:asciiTheme="majorHAnsi" w:eastAsiaTheme="majorEastAsia" w:hAnsiTheme="majorHAnsi" w:cstheme="majorBidi"/>
      <w:b/>
      <w:bCs/>
      <w:color w:val="4F81BD" w:themeColor="accent1"/>
      <w:sz w:val="26"/>
      <w:szCs w:val="26"/>
    </w:rPr>
  </w:style>
  <w:style w:type="paragraph" w:customStyle="1" w:styleId="description">
    <w:name w:val="description"/>
    <w:basedOn w:val="Normal"/>
    <w:rsid w:val="00480872"/>
    <w:pPr>
      <w:spacing w:before="100" w:beforeAutospacing="1" w:after="100" w:afterAutospacing="1"/>
    </w:pPr>
    <w:rPr>
      <w:rFonts w:ascii="Times" w:hAnsi="Times"/>
      <w:sz w:val="20"/>
      <w:szCs w:val="20"/>
      <w:lang w:eastAsia="fr-FR"/>
    </w:rPr>
  </w:style>
  <w:style w:type="character" w:customStyle="1" w:styleId="date1">
    <w:name w:val="date1"/>
    <w:basedOn w:val="Policepardfaut"/>
    <w:rsid w:val="00480872"/>
  </w:style>
  <w:style w:type="paragraph" w:customStyle="1" w:styleId="reactions">
    <w:name w:val="reactions"/>
    <w:basedOn w:val="Normal"/>
    <w:rsid w:val="00480872"/>
    <w:pPr>
      <w:spacing w:before="100" w:beforeAutospacing="1" w:after="100" w:afterAutospacing="1"/>
    </w:pPr>
    <w:rPr>
      <w:rFonts w:ascii="Times" w:hAnsi="Times"/>
      <w:sz w:val="20"/>
      <w:szCs w:val="20"/>
      <w:lang w:eastAsia="fr-FR"/>
    </w:rPr>
  </w:style>
  <w:style w:type="paragraph" w:styleId="Textedebulles">
    <w:name w:val="Balloon Text"/>
    <w:basedOn w:val="Normal"/>
    <w:link w:val="TextedebullesCar"/>
    <w:uiPriority w:val="99"/>
    <w:semiHidden/>
    <w:unhideWhenUsed/>
    <w:rsid w:val="00480872"/>
    <w:rPr>
      <w:rFonts w:ascii="Lucida Grande" w:hAnsi="Lucida Grande"/>
      <w:sz w:val="18"/>
      <w:szCs w:val="18"/>
    </w:rPr>
  </w:style>
  <w:style w:type="character" w:customStyle="1" w:styleId="TextedebullesCar">
    <w:name w:val="Texte de bulles Car"/>
    <w:basedOn w:val="Policepardfaut"/>
    <w:link w:val="Textedebulles"/>
    <w:uiPriority w:val="99"/>
    <w:semiHidden/>
    <w:rsid w:val="00480872"/>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9412001">
      <w:bodyDiv w:val="1"/>
      <w:marLeft w:val="0"/>
      <w:marRight w:val="0"/>
      <w:marTop w:val="0"/>
      <w:marBottom w:val="0"/>
      <w:divBdr>
        <w:top w:val="none" w:sz="0" w:space="0" w:color="auto"/>
        <w:left w:val="none" w:sz="0" w:space="0" w:color="auto"/>
        <w:bottom w:val="none" w:sz="0" w:space="0" w:color="auto"/>
        <w:right w:val="none" w:sz="0" w:space="0" w:color="auto"/>
      </w:divBdr>
      <w:divsChild>
        <w:div w:id="1718554313">
          <w:marLeft w:val="0"/>
          <w:marRight w:val="0"/>
          <w:marTop w:val="0"/>
          <w:marBottom w:val="0"/>
          <w:divBdr>
            <w:top w:val="none" w:sz="0" w:space="0" w:color="auto"/>
            <w:left w:val="none" w:sz="0" w:space="0" w:color="auto"/>
            <w:bottom w:val="none" w:sz="0" w:space="0" w:color="auto"/>
            <w:right w:val="none" w:sz="0" w:space="0" w:color="auto"/>
          </w:divBdr>
          <w:divsChild>
            <w:div w:id="610361273">
              <w:marLeft w:val="0"/>
              <w:marRight w:val="0"/>
              <w:marTop w:val="0"/>
              <w:marBottom w:val="0"/>
              <w:divBdr>
                <w:top w:val="none" w:sz="0" w:space="0" w:color="auto"/>
                <w:left w:val="none" w:sz="0" w:space="0" w:color="auto"/>
                <w:bottom w:val="none" w:sz="0" w:space="0" w:color="auto"/>
                <w:right w:val="none" w:sz="0" w:space="0" w:color="auto"/>
              </w:divBdr>
            </w:div>
          </w:divsChild>
        </w:div>
        <w:div w:id="997920096">
          <w:marLeft w:val="0"/>
          <w:marRight w:val="0"/>
          <w:marTop w:val="0"/>
          <w:marBottom w:val="0"/>
          <w:divBdr>
            <w:top w:val="none" w:sz="0" w:space="0" w:color="auto"/>
            <w:left w:val="none" w:sz="0" w:space="0" w:color="auto"/>
            <w:bottom w:val="none" w:sz="0" w:space="0" w:color="auto"/>
            <w:right w:val="none" w:sz="0" w:space="0" w:color="auto"/>
          </w:divBdr>
        </w:div>
      </w:divsChild>
    </w:div>
    <w:div w:id="1855680858">
      <w:bodyDiv w:val="1"/>
      <w:marLeft w:val="0"/>
      <w:marRight w:val="0"/>
      <w:marTop w:val="0"/>
      <w:marBottom w:val="0"/>
      <w:divBdr>
        <w:top w:val="none" w:sz="0" w:space="0" w:color="auto"/>
        <w:left w:val="none" w:sz="0" w:space="0" w:color="auto"/>
        <w:bottom w:val="none" w:sz="0" w:space="0" w:color="auto"/>
        <w:right w:val="none" w:sz="0" w:space="0" w:color="auto"/>
      </w:divBdr>
      <w:divsChild>
        <w:div w:id="264311924">
          <w:marLeft w:val="0"/>
          <w:marRight w:val="0"/>
          <w:marTop w:val="0"/>
          <w:marBottom w:val="0"/>
          <w:divBdr>
            <w:top w:val="none" w:sz="0" w:space="0" w:color="auto"/>
            <w:left w:val="none" w:sz="0" w:space="0" w:color="auto"/>
            <w:bottom w:val="none" w:sz="0" w:space="0" w:color="auto"/>
            <w:right w:val="none" w:sz="0" w:space="0" w:color="auto"/>
          </w:divBdr>
          <w:divsChild>
            <w:div w:id="1635018827">
              <w:marLeft w:val="0"/>
              <w:marRight w:val="0"/>
              <w:marTop w:val="0"/>
              <w:marBottom w:val="0"/>
              <w:divBdr>
                <w:top w:val="none" w:sz="0" w:space="0" w:color="auto"/>
                <w:left w:val="none" w:sz="0" w:space="0" w:color="auto"/>
                <w:bottom w:val="none" w:sz="0" w:space="0" w:color="auto"/>
                <w:right w:val="none" w:sz="0" w:space="0" w:color="auto"/>
              </w:divBdr>
              <w:divsChild>
                <w:div w:id="751899133">
                  <w:marLeft w:val="0"/>
                  <w:marRight w:val="0"/>
                  <w:marTop w:val="0"/>
                  <w:marBottom w:val="0"/>
                  <w:divBdr>
                    <w:top w:val="none" w:sz="0" w:space="0" w:color="auto"/>
                    <w:left w:val="none" w:sz="0" w:space="0" w:color="auto"/>
                    <w:bottom w:val="none" w:sz="0" w:space="0" w:color="auto"/>
                    <w:right w:val="none" w:sz="0" w:space="0" w:color="auto"/>
                  </w:divBdr>
                  <w:divsChild>
                    <w:div w:id="837114857">
                      <w:marLeft w:val="0"/>
                      <w:marRight w:val="0"/>
                      <w:marTop w:val="0"/>
                      <w:marBottom w:val="0"/>
                      <w:divBdr>
                        <w:top w:val="none" w:sz="0" w:space="0" w:color="auto"/>
                        <w:left w:val="none" w:sz="0" w:space="0" w:color="auto"/>
                        <w:bottom w:val="none" w:sz="0" w:space="0" w:color="auto"/>
                        <w:right w:val="none" w:sz="0" w:space="0" w:color="auto"/>
                      </w:divBdr>
                      <w:divsChild>
                        <w:div w:id="1915120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475185">
                  <w:marLeft w:val="0"/>
                  <w:marRight w:val="0"/>
                  <w:marTop w:val="0"/>
                  <w:marBottom w:val="0"/>
                  <w:divBdr>
                    <w:top w:val="none" w:sz="0" w:space="0" w:color="auto"/>
                    <w:left w:val="none" w:sz="0" w:space="0" w:color="auto"/>
                    <w:bottom w:val="none" w:sz="0" w:space="0" w:color="auto"/>
                    <w:right w:val="none" w:sz="0" w:space="0" w:color="auto"/>
                  </w:divBdr>
                </w:div>
              </w:divsChild>
            </w:div>
            <w:div w:id="1955020156">
              <w:marLeft w:val="0"/>
              <w:marRight w:val="0"/>
              <w:marTop w:val="0"/>
              <w:marBottom w:val="0"/>
              <w:divBdr>
                <w:top w:val="none" w:sz="0" w:space="0" w:color="auto"/>
                <w:left w:val="none" w:sz="0" w:space="0" w:color="auto"/>
                <w:bottom w:val="none" w:sz="0" w:space="0" w:color="auto"/>
                <w:right w:val="none" w:sz="0" w:space="0" w:color="auto"/>
              </w:divBdr>
              <w:divsChild>
                <w:div w:id="1373383052">
                  <w:marLeft w:val="0"/>
                  <w:marRight w:val="0"/>
                  <w:marTop w:val="0"/>
                  <w:marBottom w:val="0"/>
                  <w:divBdr>
                    <w:top w:val="none" w:sz="0" w:space="0" w:color="auto"/>
                    <w:left w:val="none" w:sz="0" w:space="0" w:color="auto"/>
                    <w:bottom w:val="none" w:sz="0" w:space="0" w:color="auto"/>
                    <w:right w:val="none" w:sz="0" w:space="0" w:color="auto"/>
                  </w:divBdr>
                </w:div>
              </w:divsChild>
            </w:div>
            <w:div w:id="1242058351">
              <w:marLeft w:val="0"/>
              <w:marRight w:val="0"/>
              <w:marTop w:val="0"/>
              <w:marBottom w:val="0"/>
              <w:divBdr>
                <w:top w:val="none" w:sz="0" w:space="0" w:color="auto"/>
                <w:left w:val="none" w:sz="0" w:space="0" w:color="auto"/>
                <w:bottom w:val="none" w:sz="0" w:space="0" w:color="auto"/>
                <w:right w:val="none" w:sz="0" w:space="0" w:color="auto"/>
              </w:divBdr>
            </w:div>
          </w:divsChild>
        </w:div>
        <w:div w:id="377172678">
          <w:marLeft w:val="0"/>
          <w:marRight w:val="0"/>
          <w:marTop w:val="0"/>
          <w:marBottom w:val="0"/>
          <w:divBdr>
            <w:top w:val="none" w:sz="0" w:space="0" w:color="auto"/>
            <w:left w:val="none" w:sz="0" w:space="0" w:color="auto"/>
            <w:bottom w:val="none" w:sz="0" w:space="0" w:color="auto"/>
            <w:right w:val="none" w:sz="0" w:space="0" w:color="auto"/>
          </w:divBdr>
          <w:divsChild>
            <w:div w:id="886337047">
              <w:marLeft w:val="0"/>
              <w:marRight w:val="0"/>
              <w:marTop w:val="0"/>
              <w:marBottom w:val="0"/>
              <w:divBdr>
                <w:top w:val="none" w:sz="0" w:space="0" w:color="auto"/>
                <w:left w:val="none" w:sz="0" w:space="0" w:color="auto"/>
                <w:bottom w:val="none" w:sz="0" w:space="0" w:color="auto"/>
                <w:right w:val="none" w:sz="0" w:space="0" w:color="auto"/>
              </w:divBdr>
            </w:div>
          </w:divsChild>
        </w:div>
        <w:div w:id="2105491497">
          <w:marLeft w:val="0"/>
          <w:marRight w:val="0"/>
          <w:marTop w:val="0"/>
          <w:marBottom w:val="0"/>
          <w:divBdr>
            <w:top w:val="none" w:sz="0" w:space="0" w:color="auto"/>
            <w:left w:val="none" w:sz="0" w:space="0" w:color="auto"/>
            <w:bottom w:val="none" w:sz="0" w:space="0" w:color="auto"/>
            <w:right w:val="none" w:sz="0" w:space="0" w:color="auto"/>
          </w:divBdr>
          <w:divsChild>
            <w:div w:id="986978096">
              <w:marLeft w:val="0"/>
              <w:marRight w:val="0"/>
              <w:marTop w:val="0"/>
              <w:marBottom w:val="0"/>
              <w:divBdr>
                <w:top w:val="none" w:sz="0" w:space="0" w:color="auto"/>
                <w:left w:val="none" w:sz="0" w:space="0" w:color="auto"/>
                <w:bottom w:val="none" w:sz="0" w:space="0" w:color="auto"/>
                <w:right w:val="none" w:sz="0" w:space="0" w:color="auto"/>
              </w:divBdr>
              <w:divsChild>
                <w:div w:id="83957">
                  <w:marLeft w:val="0"/>
                  <w:marRight w:val="0"/>
                  <w:marTop w:val="0"/>
                  <w:marBottom w:val="0"/>
                  <w:divBdr>
                    <w:top w:val="none" w:sz="0" w:space="0" w:color="auto"/>
                    <w:left w:val="none" w:sz="0" w:space="0" w:color="auto"/>
                    <w:bottom w:val="none" w:sz="0" w:space="0" w:color="auto"/>
                    <w:right w:val="none" w:sz="0" w:space="0" w:color="auto"/>
                  </w:divBdr>
                </w:div>
                <w:div w:id="497424697">
                  <w:marLeft w:val="0"/>
                  <w:marRight w:val="0"/>
                  <w:marTop w:val="0"/>
                  <w:marBottom w:val="0"/>
                  <w:divBdr>
                    <w:top w:val="none" w:sz="0" w:space="0" w:color="auto"/>
                    <w:left w:val="none" w:sz="0" w:space="0" w:color="auto"/>
                    <w:bottom w:val="none" w:sz="0" w:space="0" w:color="auto"/>
                    <w:right w:val="none" w:sz="0" w:space="0" w:color="auto"/>
                  </w:divBdr>
                </w:div>
              </w:divsChild>
            </w:div>
            <w:div w:id="421069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oire.com/Themes/Bible/Saint-Paul" TargetMode="External"/><Relationship Id="rId13" Type="http://schemas.openxmlformats.org/officeDocument/2006/relationships/hyperlink" Target="http://www.croire.com/Themes/Vie-chretienne/Sacrement" TargetMode="External"/><Relationship Id="rId18" Type="http://schemas.openxmlformats.org/officeDocument/2006/relationships/hyperlink" Target="http://www.croire.com/Themes/Mots-de-la-foi/Credo" TargetMode="External"/><Relationship Id="rId3" Type="http://schemas.openxmlformats.org/officeDocument/2006/relationships/settings" Target="settings.xml"/><Relationship Id="rId21" Type="http://schemas.openxmlformats.org/officeDocument/2006/relationships/hyperlink" Target="http://www.croire.com/Themes/Ecole-de-priere/Prier" TargetMode="External"/><Relationship Id="rId7" Type="http://schemas.openxmlformats.org/officeDocument/2006/relationships/image" Target="media/image1.jpeg"/><Relationship Id="rId12" Type="http://schemas.openxmlformats.org/officeDocument/2006/relationships/hyperlink" Target="http://www.croire.com/Themes/Mots-de-la-foi/Communion" TargetMode="External"/><Relationship Id="rId17" Type="http://schemas.openxmlformats.org/officeDocument/2006/relationships/hyperlink" Target="http://www.croire.com/Themes/Bible/Saint-Paul" TargetMode="External"/><Relationship Id="rId2" Type="http://schemas.openxmlformats.org/officeDocument/2006/relationships/styles" Target="styles.xml"/><Relationship Id="rId16" Type="http://schemas.openxmlformats.org/officeDocument/2006/relationships/hyperlink" Target="http://www.croire.com/Themes/Bible/Jesus" TargetMode="External"/><Relationship Id="rId20" Type="http://schemas.openxmlformats.org/officeDocument/2006/relationships/hyperlink" Target="http://www.croire.com/Themes/Mots-de-la-foi/Misericorde" TargetMode="External"/><Relationship Id="rId1" Type="http://schemas.openxmlformats.org/officeDocument/2006/relationships/numbering" Target="numbering.xml"/><Relationship Id="rId6" Type="http://schemas.openxmlformats.org/officeDocument/2006/relationships/hyperlink" Target="http://www.croire.com/Themes/Fetes-religieuses/Noel" TargetMode="External"/><Relationship Id="rId11" Type="http://schemas.openxmlformats.org/officeDocument/2006/relationships/hyperlink" Target="http://www.croire.com/Themes/Mots-de-la-foi/Communion" TargetMode="External"/><Relationship Id="rId5" Type="http://schemas.openxmlformats.org/officeDocument/2006/relationships/hyperlink" Target="http://www.croire.com/Themes/Fetes-religieuses/Noel" TargetMode="External"/><Relationship Id="rId15" Type="http://schemas.openxmlformats.org/officeDocument/2006/relationships/hyperlink" Target="http://www.croire.com/Themes/Bible/Jesus" TargetMode="External"/><Relationship Id="rId23" Type="http://schemas.openxmlformats.org/officeDocument/2006/relationships/theme" Target="theme/theme1.xml"/><Relationship Id="rId10" Type="http://schemas.openxmlformats.org/officeDocument/2006/relationships/hyperlink" Target="http://www.croire.com/Themes/Vie-chretienne/Reconciliation" TargetMode="External"/><Relationship Id="rId19" Type="http://schemas.openxmlformats.org/officeDocument/2006/relationships/hyperlink" Target="http://www.croire.com/Themes/Mots-de-la-foi/Peche" TargetMode="External"/><Relationship Id="rId4" Type="http://schemas.openxmlformats.org/officeDocument/2006/relationships/webSettings" Target="webSettings.xml"/><Relationship Id="rId9" Type="http://schemas.openxmlformats.org/officeDocument/2006/relationships/hyperlink" Target="http://www.croire.com/Themes/Vie-chretienne/Vatican-II" TargetMode="External"/><Relationship Id="rId14" Type="http://schemas.openxmlformats.org/officeDocument/2006/relationships/hyperlink" Target="http://www.croire.com/Themes/Vie-chretienne/Reconciliation" TargetMode="External"/><Relationship Id="rId22" Type="http://schemas.openxmlformats.org/officeDocument/2006/relationships/fontTable" Target="fontTable.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7</Pages>
  <Words>4245</Words>
  <Characters>23351</Characters>
  <Application>Microsoft Office Word</Application>
  <DocSecurity>0</DocSecurity>
  <Lines>194</Lines>
  <Paragraphs>55</Paragraphs>
  <ScaleCrop>false</ScaleCrop>
  <Company/>
  <LinksUpToDate>false</LinksUpToDate>
  <CharactersWithSpaces>27541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IT/IT</dc:creator>
  <cp:keywords/>
  <dc:description/>
  <cp:lastModifiedBy>Microsoft Office User</cp:lastModifiedBy>
  <cp:revision>3</cp:revision>
  <dcterms:created xsi:type="dcterms:W3CDTF">2014-12-27T12:17:00Z</dcterms:created>
  <dcterms:modified xsi:type="dcterms:W3CDTF">2019-12-21T14:00:00Z</dcterms:modified>
</cp:coreProperties>
</file>